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10BCC59F" w:rsidR="00A160B2" w:rsidRDefault="00AB0DF5" w:rsidP="00A160B2">
      <w:pPr>
        <w:spacing w:after="480"/>
      </w:pPr>
      <w:r>
        <w:rPr>
          <w:noProof/>
        </w:rPr>
        <w:drawing>
          <wp:inline distT="0" distB="0" distL="0" distR="0" wp14:anchorId="34F62923" wp14:editId="6294E0AB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9073" w:type="dxa"/>
        <w:tblInd w:w="-284" w:type="dxa"/>
        <w:tblLook w:val="0000" w:firstRow="0" w:lastRow="0" w:firstColumn="0" w:lastColumn="0" w:noHBand="0" w:noVBand="0"/>
        <w:tblCaption w:val="Cabinet report summary details"/>
      </w:tblPr>
      <w:tblGrid>
        <w:gridCol w:w="284"/>
        <w:gridCol w:w="3087"/>
        <w:gridCol w:w="284"/>
        <w:gridCol w:w="4938"/>
        <w:gridCol w:w="480"/>
      </w:tblGrid>
      <w:tr w:rsidR="00A160B2" w14:paraId="3E9231EB" w14:textId="77777777" w:rsidTr="00D306FA">
        <w:trPr>
          <w:gridBefore w:val="1"/>
          <w:gridAfter w:val="1"/>
          <w:wBefore w:w="284" w:type="dxa"/>
          <w:wAfter w:w="480" w:type="dxa"/>
          <w:tblHeader/>
        </w:trPr>
        <w:tc>
          <w:tcPr>
            <w:tcW w:w="3371" w:type="dxa"/>
            <w:gridSpan w:val="2"/>
            <w:tcBorders>
              <w:bottom w:val="single" w:sz="18" w:space="0" w:color="auto"/>
            </w:tcBorders>
          </w:tcPr>
          <w:p w14:paraId="2EDC0AA9" w14:textId="77777777" w:rsidR="00A160B2" w:rsidRPr="00B805DB" w:rsidRDefault="00A160B2">
            <w:pPr>
              <w:pStyle w:val="Heading1"/>
              <w:spacing w:after="240"/>
              <w:rPr>
                <w:sz w:val="32"/>
              </w:rPr>
            </w:pPr>
            <w:r w:rsidRPr="23595360">
              <w:rPr>
                <w:sz w:val="32"/>
              </w:rPr>
              <w:t>Report for:</w:t>
            </w:r>
          </w:p>
        </w:tc>
        <w:tc>
          <w:tcPr>
            <w:tcW w:w="4938" w:type="dxa"/>
            <w:tcBorders>
              <w:bottom w:val="single" w:sz="18" w:space="0" w:color="auto"/>
            </w:tcBorders>
          </w:tcPr>
          <w:p w14:paraId="0D994E02" w14:textId="53F5280E" w:rsidR="00B4404C" w:rsidRPr="00B4404C" w:rsidRDefault="00B4404C" w:rsidP="00B4404C">
            <w:pPr>
              <w:pStyle w:val="Heading1"/>
              <w:rPr>
                <w:sz w:val="32"/>
              </w:rPr>
            </w:pPr>
            <w:r w:rsidRPr="23595360">
              <w:rPr>
                <w:sz w:val="32"/>
              </w:rPr>
              <w:t>GOVERNANCE, AUDIT</w:t>
            </w:r>
            <w:r w:rsidR="00FC57C9" w:rsidRPr="23595360">
              <w:rPr>
                <w:sz w:val="32"/>
              </w:rPr>
              <w:t>,</w:t>
            </w:r>
            <w:r w:rsidRPr="23595360">
              <w:rPr>
                <w:sz w:val="32"/>
              </w:rPr>
              <w:t xml:space="preserve"> RISK MANAGEMENT AND STANDARDS COMMITTEE </w:t>
            </w:r>
          </w:p>
          <w:p w14:paraId="55A88F66" w14:textId="07DA918D" w:rsidR="00A160B2" w:rsidRPr="00B4404C" w:rsidRDefault="00A160B2">
            <w:pPr>
              <w:pStyle w:val="Heading1"/>
              <w:rPr>
                <w:sz w:val="32"/>
              </w:rPr>
            </w:pPr>
            <w:r w:rsidRPr="23595360">
              <w:rPr>
                <w:sz w:val="32"/>
              </w:rPr>
              <w:t xml:space="preserve"> </w:t>
            </w:r>
          </w:p>
        </w:tc>
      </w:tr>
      <w:tr w:rsidR="00A160B2" w14:paraId="5281F5A9" w14:textId="77777777" w:rsidTr="00D306FA">
        <w:tc>
          <w:tcPr>
            <w:tcW w:w="3371" w:type="dxa"/>
            <w:gridSpan w:val="2"/>
            <w:tcBorders>
              <w:top w:val="single" w:sz="18" w:space="0" w:color="auto"/>
            </w:tcBorders>
          </w:tcPr>
          <w:p w14:paraId="78070AEF" w14:textId="77777777" w:rsidR="00194441" w:rsidRDefault="00194441" w:rsidP="00F24C46">
            <w:pPr>
              <w:pStyle w:val="Infotext"/>
              <w:ind w:left="314"/>
              <w:rPr>
                <w:rFonts w:ascii="Arial Black" w:hAnsi="Arial Black"/>
              </w:rPr>
            </w:pPr>
          </w:p>
          <w:p w14:paraId="0991D380" w14:textId="357581F3" w:rsidR="00A160B2" w:rsidRPr="00F92398" w:rsidRDefault="00A160B2" w:rsidP="00F24C46">
            <w:pPr>
              <w:pStyle w:val="Infotext"/>
              <w:ind w:left="314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B60FF5" w:rsidRDefault="00A160B2" w:rsidP="00F24C46">
            <w:pPr>
              <w:pStyle w:val="Infotext"/>
              <w:ind w:left="314"/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5702" w:type="dxa"/>
            <w:gridSpan w:val="3"/>
            <w:tcBorders>
              <w:top w:val="single" w:sz="18" w:space="0" w:color="auto"/>
            </w:tcBorders>
          </w:tcPr>
          <w:p w14:paraId="20D843F2" w14:textId="77777777" w:rsidR="00194441" w:rsidRDefault="00194441" w:rsidP="00F24C46">
            <w:pPr>
              <w:pStyle w:val="Infotext"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31CD38C0" w14:textId="77777777" w:rsidR="00194441" w:rsidRPr="00194441" w:rsidRDefault="00194441" w:rsidP="00F24C46">
            <w:pPr>
              <w:pStyle w:val="Infotext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95EBCE8" w14:textId="5DC8B1A2" w:rsidR="00A160B2" w:rsidRPr="00FC57C9" w:rsidRDefault="003E1D74" w:rsidP="00F24C4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19 March</w:t>
            </w:r>
            <w:r w:rsidR="00AF11B9" w:rsidRPr="00FC57C9">
              <w:rPr>
                <w:rFonts w:cs="Arial"/>
                <w:color w:val="000000" w:themeColor="text1"/>
                <w:sz w:val="24"/>
                <w:szCs w:val="24"/>
              </w:rPr>
              <w:t xml:space="preserve"> 2024</w:t>
            </w:r>
          </w:p>
        </w:tc>
      </w:tr>
      <w:tr w:rsidR="00A160B2" w14:paraId="79B879D4" w14:textId="77777777" w:rsidTr="00D306FA">
        <w:tc>
          <w:tcPr>
            <w:tcW w:w="3371" w:type="dxa"/>
            <w:gridSpan w:val="2"/>
          </w:tcPr>
          <w:p w14:paraId="5EBA2504" w14:textId="77777777" w:rsidR="00A160B2" w:rsidRPr="00F92398" w:rsidRDefault="00A160B2" w:rsidP="00F24C46">
            <w:pPr>
              <w:pStyle w:val="Infotext"/>
              <w:ind w:left="314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F24C46">
            <w:pPr>
              <w:pStyle w:val="Infotext"/>
              <w:ind w:left="314"/>
              <w:rPr>
                <w:rFonts w:ascii="Arial Black" w:hAnsi="Arial Black"/>
              </w:rPr>
            </w:pPr>
          </w:p>
        </w:tc>
        <w:tc>
          <w:tcPr>
            <w:tcW w:w="5702" w:type="dxa"/>
            <w:gridSpan w:val="3"/>
          </w:tcPr>
          <w:p w14:paraId="4B902198" w14:textId="48895F4E" w:rsidR="00B4404C" w:rsidRPr="00FC57C9" w:rsidRDefault="00B4404C" w:rsidP="00F24C46">
            <w:pPr>
              <w:pStyle w:val="Infotext"/>
              <w:rPr>
                <w:rFonts w:cs="Arial"/>
                <w:sz w:val="24"/>
                <w:szCs w:val="24"/>
              </w:rPr>
            </w:pPr>
            <w:r w:rsidRPr="00FC57C9">
              <w:rPr>
                <w:rFonts w:cs="Arial"/>
                <w:sz w:val="24"/>
                <w:szCs w:val="24"/>
              </w:rPr>
              <w:t xml:space="preserve">INFORMATION REPORT – Internal Audit </w:t>
            </w:r>
            <w:r w:rsidR="00AF11B9" w:rsidRPr="00FC57C9">
              <w:rPr>
                <w:rFonts w:cs="Arial"/>
                <w:sz w:val="24"/>
                <w:szCs w:val="24"/>
              </w:rPr>
              <w:t>&amp; C</w:t>
            </w:r>
            <w:r w:rsidR="00D306FA">
              <w:rPr>
                <w:rFonts w:cs="Arial"/>
                <w:sz w:val="24"/>
                <w:szCs w:val="24"/>
              </w:rPr>
              <w:t xml:space="preserve">orporate </w:t>
            </w:r>
            <w:proofErr w:type="spellStart"/>
            <w:r w:rsidR="00D306FA">
              <w:rPr>
                <w:rFonts w:cs="Arial"/>
                <w:sz w:val="24"/>
                <w:szCs w:val="24"/>
              </w:rPr>
              <w:t>Anti Fraud</w:t>
            </w:r>
            <w:proofErr w:type="spellEnd"/>
            <w:r w:rsidR="00D306FA">
              <w:rPr>
                <w:rFonts w:cs="Arial"/>
                <w:sz w:val="24"/>
                <w:szCs w:val="24"/>
              </w:rPr>
              <w:t xml:space="preserve"> </w:t>
            </w:r>
            <w:r w:rsidR="0EAFD417" w:rsidRPr="095C8546">
              <w:rPr>
                <w:rFonts w:cs="Arial"/>
                <w:sz w:val="24"/>
                <w:szCs w:val="24"/>
              </w:rPr>
              <w:t xml:space="preserve">Team </w:t>
            </w:r>
            <w:r w:rsidR="00D306FA">
              <w:rPr>
                <w:rFonts w:cs="Arial"/>
                <w:sz w:val="24"/>
                <w:szCs w:val="24"/>
              </w:rPr>
              <w:t xml:space="preserve">(CAFT) </w:t>
            </w:r>
            <w:r w:rsidR="00AF11B9" w:rsidRPr="00FC57C9">
              <w:rPr>
                <w:rFonts w:cs="Arial"/>
                <w:sz w:val="24"/>
                <w:szCs w:val="24"/>
              </w:rPr>
              <w:t>Progress</w:t>
            </w:r>
            <w:r w:rsidRPr="00FC57C9">
              <w:rPr>
                <w:rFonts w:cs="Arial"/>
                <w:sz w:val="24"/>
                <w:szCs w:val="24"/>
              </w:rPr>
              <w:t xml:space="preserve"> Report </w:t>
            </w:r>
            <w:r w:rsidR="002738FB" w:rsidRPr="00FC57C9">
              <w:rPr>
                <w:rFonts w:cs="Arial"/>
                <w:sz w:val="24"/>
                <w:szCs w:val="24"/>
              </w:rPr>
              <w:t xml:space="preserve">for the period ending </w:t>
            </w:r>
            <w:r w:rsidR="003E1D74">
              <w:rPr>
                <w:rFonts w:cs="Arial"/>
                <w:sz w:val="24"/>
                <w:szCs w:val="24"/>
              </w:rPr>
              <w:t>29 February 2024</w:t>
            </w:r>
          </w:p>
          <w:p w14:paraId="5914456E" w14:textId="77777777" w:rsidR="00A160B2" w:rsidRPr="00FC57C9" w:rsidRDefault="00A160B2" w:rsidP="00F24C4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A160B2" w14:paraId="3A5E0F07" w14:textId="77777777" w:rsidTr="23595360">
        <w:trPr>
          <w:trHeight w:val="915"/>
        </w:trPr>
        <w:tc>
          <w:tcPr>
            <w:tcW w:w="3371" w:type="dxa"/>
            <w:gridSpan w:val="2"/>
          </w:tcPr>
          <w:p w14:paraId="2952AD10" w14:textId="02AB541A" w:rsidR="00A160B2" w:rsidRPr="00B60FF5" w:rsidRDefault="00A160B2" w:rsidP="00F24C46">
            <w:pPr>
              <w:pStyle w:val="Infotext"/>
              <w:ind w:left="314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</w:tc>
        <w:tc>
          <w:tcPr>
            <w:tcW w:w="5702" w:type="dxa"/>
            <w:gridSpan w:val="3"/>
          </w:tcPr>
          <w:p w14:paraId="3CF266C9" w14:textId="00E0DE12" w:rsidR="00A160B2" w:rsidRPr="00FC57C9" w:rsidRDefault="007D2CA9" w:rsidP="00F24C46">
            <w:pPr>
              <w:pStyle w:val="Infotext"/>
              <w:rPr>
                <w:rFonts w:cs="Arial"/>
                <w:sz w:val="24"/>
                <w:szCs w:val="24"/>
              </w:rPr>
            </w:pPr>
            <w:r w:rsidRPr="00FC57C9">
              <w:rPr>
                <w:rFonts w:cs="Arial"/>
                <w:sz w:val="24"/>
                <w:szCs w:val="24"/>
              </w:rPr>
              <w:t>Sharon Daniels</w:t>
            </w:r>
            <w:r w:rsidR="00B4404C" w:rsidRPr="00FC57C9">
              <w:rPr>
                <w:rFonts w:cs="Arial"/>
                <w:sz w:val="24"/>
                <w:szCs w:val="24"/>
              </w:rPr>
              <w:t xml:space="preserve">, </w:t>
            </w:r>
            <w:r w:rsidRPr="00FC57C9">
              <w:rPr>
                <w:rFonts w:cs="Arial"/>
                <w:sz w:val="24"/>
                <w:szCs w:val="24"/>
              </w:rPr>
              <w:t>Interim</w:t>
            </w:r>
            <w:r w:rsidR="00B4404C" w:rsidRPr="00FC57C9">
              <w:rPr>
                <w:rFonts w:cs="Arial"/>
                <w:sz w:val="24"/>
                <w:szCs w:val="24"/>
              </w:rPr>
              <w:t xml:space="preserve"> Director of Finance &amp; Assurance</w:t>
            </w:r>
          </w:p>
        </w:tc>
      </w:tr>
      <w:tr w:rsidR="00A160B2" w14:paraId="7AFCAE74" w14:textId="77777777" w:rsidTr="00D306FA">
        <w:tc>
          <w:tcPr>
            <w:tcW w:w="3371" w:type="dxa"/>
            <w:gridSpan w:val="2"/>
          </w:tcPr>
          <w:p w14:paraId="72D771B0" w14:textId="1425A8B3" w:rsidR="00A160B2" w:rsidRPr="00B60FF5" w:rsidRDefault="00A160B2" w:rsidP="00F24C46">
            <w:pPr>
              <w:pStyle w:val="Infotext"/>
              <w:ind w:left="314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</w:tc>
        <w:tc>
          <w:tcPr>
            <w:tcW w:w="5702" w:type="dxa"/>
            <w:gridSpan w:val="3"/>
          </w:tcPr>
          <w:p w14:paraId="4E3163FF" w14:textId="3557B00B" w:rsidR="00A160B2" w:rsidRPr="00FC57C9" w:rsidRDefault="00A160B2" w:rsidP="00F24C46">
            <w:pPr>
              <w:pStyle w:val="Infotext"/>
              <w:rPr>
                <w:rFonts w:cs="Arial"/>
                <w:sz w:val="24"/>
                <w:szCs w:val="24"/>
              </w:rPr>
            </w:pPr>
            <w:r w:rsidRPr="00FC57C9">
              <w:rPr>
                <w:rFonts w:cs="Arial"/>
                <w:sz w:val="24"/>
                <w:szCs w:val="24"/>
              </w:rPr>
              <w:t>No</w:t>
            </w:r>
          </w:p>
          <w:p w14:paraId="4C873B59" w14:textId="77777777" w:rsidR="00A160B2" w:rsidRPr="00FC57C9" w:rsidRDefault="00A160B2" w:rsidP="00F24C4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A160B2" w14:paraId="521D9222" w14:textId="77777777" w:rsidTr="00D306FA">
        <w:tc>
          <w:tcPr>
            <w:tcW w:w="3371" w:type="dxa"/>
            <w:gridSpan w:val="2"/>
          </w:tcPr>
          <w:p w14:paraId="65A16444" w14:textId="2A5C3854" w:rsidR="00A160B2" w:rsidRPr="00B60FF5" w:rsidRDefault="00A160B2" w:rsidP="00F24C46">
            <w:pPr>
              <w:pStyle w:val="Infotext"/>
              <w:ind w:left="314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702" w:type="dxa"/>
            <w:gridSpan w:val="3"/>
          </w:tcPr>
          <w:p w14:paraId="1FAF3DA1" w14:textId="77777777" w:rsidR="00A160B2" w:rsidRDefault="00B4404C" w:rsidP="00F24C46">
            <w:pPr>
              <w:pStyle w:val="Infotext"/>
              <w:rPr>
                <w:rFonts w:cs="Arial"/>
                <w:sz w:val="24"/>
                <w:szCs w:val="24"/>
              </w:rPr>
            </w:pPr>
            <w:r w:rsidRPr="00FC57C9">
              <w:rPr>
                <w:rFonts w:cs="Arial"/>
                <w:sz w:val="24"/>
                <w:szCs w:val="24"/>
              </w:rPr>
              <w:t>All</w:t>
            </w:r>
          </w:p>
          <w:p w14:paraId="6CD568AC" w14:textId="06705D12" w:rsidR="00194441" w:rsidRPr="00FC57C9" w:rsidRDefault="00194441" w:rsidP="00F24C46">
            <w:pPr>
              <w:pStyle w:val="Infotext"/>
              <w:rPr>
                <w:sz w:val="24"/>
                <w:szCs w:val="24"/>
              </w:rPr>
            </w:pPr>
          </w:p>
        </w:tc>
      </w:tr>
      <w:tr w:rsidR="00A160B2" w14:paraId="7C35C184" w14:textId="77777777" w:rsidTr="095C8546">
        <w:trPr>
          <w:trHeight w:val="300"/>
        </w:trPr>
        <w:tc>
          <w:tcPr>
            <w:tcW w:w="3371" w:type="dxa"/>
            <w:gridSpan w:val="2"/>
          </w:tcPr>
          <w:p w14:paraId="69475841" w14:textId="782FAEDE" w:rsidR="00A160B2" w:rsidRPr="00F92398" w:rsidRDefault="00F55205" w:rsidP="00F24C46">
            <w:pPr>
              <w:pStyle w:val="Infotext"/>
              <w:ind w:left="314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Enclosures</w:t>
            </w:r>
            <w:r w:rsidR="119546FC" w:rsidRPr="26F9B9B5">
              <w:rPr>
                <w:rFonts w:ascii="Arial Black" w:hAnsi="Arial Black" w:cs="Arial"/>
              </w:rPr>
              <w:t>:</w:t>
            </w:r>
          </w:p>
        </w:tc>
        <w:tc>
          <w:tcPr>
            <w:tcW w:w="5702" w:type="dxa"/>
            <w:gridSpan w:val="3"/>
          </w:tcPr>
          <w:p w14:paraId="36CF25B5" w14:textId="05BDAF05" w:rsidR="00B956D9" w:rsidRDefault="00B4404C" w:rsidP="00F24C46">
            <w:pPr>
              <w:pStyle w:val="Infotext"/>
              <w:rPr>
                <w:sz w:val="24"/>
                <w:szCs w:val="24"/>
              </w:rPr>
            </w:pPr>
            <w:r w:rsidRPr="00FC57C9">
              <w:rPr>
                <w:sz w:val="24"/>
                <w:szCs w:val="24"/>
              </w:rPr>
              <w:t>Appendix</w:t>
            </w:r>
            <w:r w:rsidR="0088105A" w:rsidRPr="00FC57C9">
              <w:rPr>
                <w:sz w:val="24"/>
                <w:szCs w:val="24"/>
              </w:rPr>
              <w:t xml:space="preserve"> </w:t>
            </w:r>
            <w:r w:rsidRPr="00FC57C9">
              <w:rPr>
                <w:sz w:val="24"/>
                <w:szCs w:val="24"/>
              </w:rPr>
              <w:t xml:space="preserve">1 </w:t>
            </w:r>
            <w:r w:rsidR="004712C1">
              <w:rPr>
                <w:sz w:val="24"/>
                <w:szCs w:val="24"/>
              </w:rPr>
              <w:t>-</w:t>
            </w:r>
            <w:r w:rsidRPr="00FC57C9">
              <w:rPr>
                <w:sz w:val="24"/>
                <w:szCs w:val="24"/>
              </w:rPr>
              <w:t xml:space="preserve"> Internal </w:t>
            </w:r>
            <w:r w:rsidR="00AF11B9" w:rsidRPr="00FC57C9">
              <w:rPr>
                <w:sz w:val="24"/>
                <w:szCs w:val="24"/>
              </w:rPr>
              <w:t xml:space="preserve">Audit &amp; CAFT Progress Report </w:t>
            </w:r>
            <w:r w:rsidR="002738FB" w:rsidRPr="00FC57C9">
              <w:rPr>
                <w:sz w:val="24"/>
                <w:szCs w:val="24"/>
              </w:rPr>
              <w:t xml:space="preserve">as </w:t>
            </w:r>
            <w:bookmarkStart w:id="0" w:name="_Int_d6SaauV9"/>
            <w:r w:rsidR="00AF11B9" w:rsidRPr="00FC57C9">
              <w:rPr>
                <w:sz w:val="24"/>
                <w:szCs w:val="24"/>
              </w:rPr>
              <w:t>at</w:t>
            </w:r>
            <w:bookmarkEnd w:id="0"/>
            <w:r w:rsidR="00AF11B9" w:rsidRPr="00FC57C9">
              <w:rPr>
                <w:sz w:val="24"/>
                <w:szCs w:val="24"/>
              </w:rPr>
              <w:t xml:space="preserve"> </w:t>
            </w:r>
            <w:r w:rsidR="003E1D74">
              <w:rPr>
                <w:sz w:val="24"/>
                <w:szCs w:val="24"/>
              </w:rPr>
              <w:t>29 February 2024</w:t>
            </w:r>
            <w:r w:rsidR="00AF11B9" w:rsidRPr="00FC57C9">
              <w:rPr>
                <w:sz w:val="24"/>
                <w:szCs w:val="24"/>
              </w:rPr>
              <w:t xml:space="preserve"> </w:t>
            </w:r>
          </w:p>
          <w:p w14:paraId="2513FA22" w14:textId="789545ED" w:rsidR="006709A0" w:rsidRPr="00FC57C9" w:rsidRDefault="006709A0" w:rsidP="23595360">
            <w:pPr>
              <w:pStyle w:val="Infotext"/>
              <w:rPr>
                <w:sz w:val="24"/>
                <w:szCs w:val="24"/>
              </w:rPr>
            </w:pPr>
          </w:p>
          <w:p w14:paraId="4C232B02" w14:textId="2B14CCCF" w:rsidR="006709A0" w:rsidRPr="00FC57C9" w:rsidRDefault="006709A0" w:rsidP="00F24C46">
            <w:pPr>
              <w:pStyle w:val="Infotext"/>
              <w:rPr>
                <w:sz w:val="24"/>
                <w:szCs w:val="24"/>
              </w:rPr>
            </w:pPr>
          </w:p>
        </w:tc>
      </w:tr>
    </w:tbl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931"/>
      </w:tblGrid>
      <w:tr w:rsidR="00A160B2" w14:paraId="332F8595" w14:textId="77777777" w:rsidTr="095C8546">
        <w:trPr>
          <w:trHeight w:val="300"/>
          <w:tblHeader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6194CDBA" w:rsidR="00A160B2" w:rsidRDefault="00A160B2" w:rsidP="23595360">
            <w:pPr>
              <w:pStyle w:val="Heading2"/>
              <w:spacing w:before="0"/>
            </w:pPr>
            <w:r>
              <w:t>Section 1 – Summary and Recommendations</w:t>
            </w:r>
          </w:p>
        </w:tc>
      </w:tr>
      <w:tr w:rsidR="00A160B2" w14:paraId="281F4D12" w14:textId="77777777" w:rsidTr="00E84904">
        <w:trPr>
          <w:tblHeader/>
        </w:trPr>
        <w:tc>
          <w:tcPr>
            <w:tcW w:w="8931" w:type="dxa"/>
            <w:tcBorders>
              <w:left w:val="nil"/>
              <w:bottom w:val="nil"/>
              <w:right w:val="nil"/>
            </w:tcBorders>
          </w:tcPr>
          <w:p w14:paraId="1EE6A907" w14:textId="77777777" w:rsidR="00D91480" w:rsidRDefault="00D91480" w:rsidP="00E84904">
            <w:pPr>
              <w:jc w:val="both"/>
            </w:pPr>
          </w:p>
          <w:p w14:paraId="3C0AC046" w14:textId="53EF5041" w:rsidR="00B4404C" w:rsidRPr="002D50E5" w:rsidRDefault="00B4404C" w:rsidP="00E84904">
            <w:pPr>
              <w:jc w:val="both"/>
              <w:rPr>
                <w:sz w:val="22"/>
                <w:szCs w:val="22"/>
              </w:rPr>
            </w:pPr>
            <w:r w:rsidRPr="002D50E5">
              <w:rPr>
                <w:sz w:val="22"/>
                <w:szCs w:val="22"/>
              </w:rPr>
              <w:t xml:space="preserve">This report sets out the Internal Audit and </w:t>
            </w:r>
            <w:r w:rsidR="00AF11B9" w:rsidRPr="002D50E5">
              <w:rPr>
                <w:sz w:val="22"/>
                <w:szCs w:val="22"/>
              </w:rPr>
              <w:t xml:space="preserve">Corporate </w:t>
            </w:r>
            <w:proofErr w:type="spellStart"/>
            <w:r w:rsidR="00AF11B9" w:rsidRPr="002D50E5">
              <w:rPr>
                <w:sz w:val="22"/>
                <w:szCs w:val="22"/>
              </w:rPr>
              <w:t>Anti Fraud</w:t>
            </w:r>
            <w:proofErr w:type="spellEnd"/>
            <w:r w:rsidR="00AF11B9" w:rsidRPr="002D50E5">
              <w:rPr>
                <w:sz w:val="22"/>
                <w:szCs w:val="22"/>
              </w:rPr>
              <w:t xml:space="preserve"> Team</w:t>
            </w:r>
            <w:r w:rsidR="002738FB" w:rsidRPr="002D50E5">
              <w:rPr>
                <w:sz w:val="22"/>
                <w:szCs w:val="22"/>
              </w:rPr>
              <w:t xml:space="preserve"> (CAFT)</w:t>
            </w:r>
            <w:r w:rsidR="00AF11B9" w:rsidRPr="002D50E5">
              <w:rPr>
                <w:sz w:val="22"/>
                <w:szCs w:val="22"/>
              </w:rPr>
              <w:t xml:space="preserve"> progress against the 2023/24 plan</w:t>
            </w:r>
            <w:r w:rsidR="00C94B89" w:rsidRPr="002D50E5">
              <w:rPr>
                <w:sz w:val="22"/>
                <w:szCs w:val="22"/>
              </w:rPr>
              <w:t>s and outcomes of reactive investigations. The report</w:t>
            </w:r>
            <w:r w:rsidR="00BB7789" w:rsidRPr="002D50E5">
              <w:rPr>
                <w:sz w:val="22"/>
                <w:szCs w:val="22"/>
              </w:rPr>
              <w:t xml:space="preserve"> </w:t>
            </w:r>
            <w:r w:rsidR="0088105A" w:rsidRPr="002D50E5">
              <w:rPr>
                <w:sz w:val="22"/>
                <w:szCs w:val="22"/>
              </w:rPr>
              <w:t xml:space="preserve">includes </w:t>
            </w:r>
            <w:r w:rsidRPr="002D50E5">
              <w:rPr>
                <w:sz w:val="22"/>
                <w:szCs w:val="22"/>
              </w:rPr>
              <w:t xml:space="preserve">the </w:t>
            </w:r>
            <w:r w:rsidR="00BB7789" w:rsidRPr="002D50E5">
              <w:rPr>
                <w:sz w:val="22"/>
                <w:szCs w:val="22"/>
              </w:rPr>
              <w:t xml:space="preserve">Interim </w:t>
            </w:r>
            <w:r w:rsidRPr="002D50E5">
              <w:rPr>
                <w:sz w:val="22"/>
                <w:szCs w:val="22"/>
              </w:rPr>
              <w:t xml:space="preserve">Head of Internal Audit’s overall audit opinion on the control environment.  </w:t>
            </w:r>
          </w:p>
          <w:p w14:paraId="412D8638" w14:textId="77777777" w:rsidR="00B4404C" w:rsidRPr="002D50E5" w:rsidRDefault="00B4404C" w:rsidP="00E84904">
            <w:pPr>
              <w:jc w:val="both"/>
              <w:rPr>
                <w:sz w:val="22"/>
                <w:szCs w:val="22"/>
              </w:rPr>
            </w:pPr>
          </w:p>
          <w:p w14:paraId="4CC072F7" w14:textId="7130D79F" w:rsidR="00B4404C" w:rsidRPr="002D50E5" w:rsidRDefault="00B4404C" w:rsidP="00E84904">
            <w:pPr>
              <w:jc w:val="both"/>
              <w:rPr>
                <w:sz w:val="22"/>
                <w:szCs w:val="22"/>
              </w:rPr>
            </w:pPr>
            <w:r w:rsidRPr="095C8546">
              <w:rPr>
                <w:sz w:val="22"/>
                <w:szCs w:val="22"/>
              </w:rPr>
              <w:t xml:space="preserve">The report is presented to enable the Committee to fulfil the requirements of </w:t>
            </w:r>
            <w:r w:rsidR="00A80398" w:rsidRPr="095C8546">
              <w:rPr>
                <w:sz w:val="22"/>
                <w:szCs w:val="22"/>
              </w:rPr>
              <w:t>its</w:t>
            </w:r>
            <w:r w:rsidRPr="095C8546">
              <w:rPr>
                <w:sz w:val="22"/>
                <w:szCs w:val="22"/>
              </w:rPr>
              <w:t xml:space="preserve"> Terms of Refence to</w:t>
            </w:r>
            <w:r w:rsidR="71BA6A86" w:rsidRPr="095C8546">
              <w:rPr>
                <w:sz w:val="22"/>
                <w:szCs w:val="22"/>
              </w:rPr>
              <w:t xml:space="preserve"> consider reports from the Head of Internal Audit on internal audit’s performance, includi</w:t>
            </w:r>
            <w:r w:rsidR="53B4D9A2" w:rsidRPr="095C8546">
              <w:rPr>
                <w:sz w:val="22"/>
                <w:szCs w:val="22"/>
              </w:rPr>
              <w:t>ng the performance of external providers of internal audit services.</w:t>
            </w:r>
          </w:p>
          <w:p w14:paraId="5B7BF900" w14:textId="3573773B" w:rsidR="00B956D9" w:rsidRPr="002D50E5" w:rsidRDefault="00B956D9" w:rsidP="00E84904">
            <w:pPr>
              <w:jc w:val="both"/>
              <w:rPr>
                <w:sz w:val="22"/>
                <w:szCs w:val="22"/>
              </w:rPr>
            </w:pPr>
          </w:p>
          <w:p w14:paraId="0DCA4F45" w14:textId="55A691B6" w:rsidR="00E84904" w:rsidRPr="00B128DD" w:rsidRDefault="11AEDB2E" w:rsidP="095C8546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95C8546">
              <w:t xml:space="preserve">The Committee is recommended </w:t>
            </w:r>
            <w:r w:rsidR="7D4A486C" w:rsidRPr="095C8546">
              <w:t>t</w:t>
            </w:r>
            <w:r w:rsidR="00B4404C" w:rsidRPr="095C8546">
              <w:t xml:space="preserve">o </w:t>
            </w:r>
            <w:r w:rsidR="14A12BC7" w:rsidRPr="095C8546">
              <w:t>note the progress report at Appendix 1</w:t>
            </w:r>
          </w:p>
          <w:p w14:paraId="3E99DBA5" w14:textId="6ED83BBE" w:rsidR="26F9B9B5" w:rsidRDefault="26F9B9B5" w:rsidP="26F9B9B5">
            <w:pPr>
              <w:jc w:val="both"/>
              <w:rPr>
                <w:color w:val="000000" w:themeColor="text1"/>
              </w:rPr>
            </w:pPr>
          </w:p>
          <w:p w14:paraId="714CBDEE" w14:textId="4C6C8E93" w:rsidR="00E84904" w:rsidRPr="00802FA4" w:rsidRDefault="00E84904" w:rsidP="00E84904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53DC7DE2" w14:textId="751508C2" w:rsidR="002A2389" w:rsidRDefault="002A2389" w:rsidP="00FF314E">
      <w:pPr>
        <w:pStyle w:val="Heading2"/>
        <w:pBdr>
          <w:bottom w:val="single" w:sz="4" w:space="1" w:color="auto"/>
        </w:pBdr>
        <w:spacing w:before="0"/>
        <w:ind w:right="-55"/>
        <w:jc w:val="both"/>
      </w:pPr>
      <w:r>
        <w:t>Section 2 – Report</w:t>
      </w:r>
    </w:p>
    <w:p w14:paraId="0459BA19" w14:textId="099F302F" w:rsidR="00B4404C" w:rsidRPr="00FF314E" w:rsidRDefault="00B26D22" w:rsidP="0003473D">
      <w:pPr>
        <w:ind w:right="-55"/>
        <w:jc w:val="both"/>
        <w:rPr>
          <w:b/>
          <w:iCs/>
          <w:sz w:val="28"/>
          <w:szCs w:val="28"/>
        </w:rPr>
      </w:pPr>
      <w:bookmarkStart w:id="1" w:name="_Int_RGLqy1qH"/>
      <w:r>
        <w:rPr>
          <w:b/>
          <w:iCs/>
          <w:sz w:val="28"/>
          <w:szCs w:val="28"/>
        </w:rPr>
        <w:t xml:space="preserve">2.1  </w:t>
      </w:r>
      <w:r w:rsidR="00B4404C" w:rsidRPr="00FF314E">
        <w:rPr>
          <w:b/>
          <w:iCs/>
          <w:sz w:val="28"/>
          <w:szCs w:val="28"/>
        </w:rPr>
        <w:t>Background</w:t>
      </w:r>
      <w:bookmarkEnd w:id="1"/>
    </w:p>
    <w:p w14:paraId="01451113" w14:textId="77777777" w:rsidR="00B4404C" w:rsidRPr="007E5BBA" w:rsidRDefault="00B4404C" w:rsidP="00F24C46">
      <w:pPr>
        <w:ind w:right="-55"/>
        <w:jc w:val="both"/>
        <w:rPr>
          <w:i/>
          <w:iCs/>
          <w:sz w:val="16"/>
          <w:szCs w:val="16"/>
        </w:rPr>
      </w:pPr>
    </w:p>
    <w:p w14:paraId="51ACBE06" w14:textId="13C08039" w:rsidR="00B4404C" w:rsidRDefault="00BB7789" w:rsidP="00B26D22">
      <w:pPr>
        <w:ind w:right="-55"/>
        <w:jc w:val="both"/>
        <w:rPr>
          <w:sz w:val="22"/>
          <w:szCs w:val="22"/>
        </w:rPr>
      </w:pPr>
      <w:r w:rsidRPr="002D50E5">
        <w:rPr>
          <w:sz w:val="22"/>
          <w:szCs w:val="22"/>
        </w:rPr>
        <w:t>T</w:t>
      </w:r>
      <w:r w:rsidR="00B4404C" w:rsidRPr="002D50E5">
        <w:rPr>
          <w:sz w:val="22"/>
          <w:szCs w:val="22"/>
        </w:rPr>
        <w:t xml:space="preserve">he GARMS Committee considers </w:t>
      </w:r>
      <w:r w:rsidRPr="002D50E5">
        <w:rPr>
          <w:sz w:val="22"/>
          <w:szCs w:val="22"/>
        </w:rPr>
        <w:t xml:space="preserve">progress reports </w:t>
      </w:r>
      <w:r w:rsidR="00B4404C" w:rsidRPr="002D50E5">
        <w:rPr>
          <w:sz w:val="22"/>
          <w:szCs w:val="22"/>
        </w:rPr>
        <w:t xml:space="preserve">from </w:t>
      </w:r>
      <w:r w:rsidRPr="002D50E5">
        <w:rPr>
          <w:sz w:val="22"/>
          <w:szCs w:val="22"/>
        </w:rPr>
        <w:t xml:space="preserve">the Head of </w:t>
      </w:r>
      <w:r w:rsidR="00B4404C" w:rsidRPr="002D50E5">
        <w:rPr>
          <w:sz w:val="22"/>
          <w:szCs w:val="22"/>
        </w:rPr>
        <w:t xml:space="preserve">Internal Audit covering progress against the agreed annual plan to help fulfil </w:t>
      </w:r>
      <w:r w:rsidR="00A80398" w:rsidRPr="002D50E5">
        <w:rPr>
          <w:sz w:val="22"/>
          <w:szCs w:val="22"/>
        </w:rPr>
        <w:t>its</w:t>
      </w:r>
      <w:r w:rsidR="00B4404C" w:rsidRPr="002D50E5">
        <w:rPr>
          <w:sz w:val="22"/>
          <w:szCs w:val="22"/>
        </w:rPr>
        <w:t xml:space="preserve"> purpose in accordance with </w:t>
      </w:r>
      <w:r w:rsidR="00CB4B97" w:rsidRPr="002D50E5">
        <w:rPr>
          <w:sz w:val="22"/>
          <w:szCs w:val="22"/>
        </w:rPr>
        <w:t>its</w:t>
      </w:r>
      <w:r w:rsidR="00B4404C" w:rsidRPr="002D50E5">
        <w:rPr>
          <w:sz w:val="22"/>
          <w:szCs w:val="22"/>
        </w:rPr>
        <w:t xml:space="preserve"> Terms of Reference.  </w:t>
      </w:r>
    </w:p>
    <w:p w14:paraId="116B14CD" w14:textId="77777777" w:rsidR="00B128DD" w:rsidRDefault="00B128DD" w:rsidP="00B26D22">
      <w:pPr>
        <w:ind w:right="-55"/>
        <w:jc w:val="both"/>
        <w:rPr>
          <w:sz w:val="22"/>
          <w:szCs w:val="22"/>
        </w:rPr>
      </w:pPr>
    </w:p>
    <w:p w14:paraId="10EAAD73" w14:textId="77777777" w:rsidR="00B128DD" w:rsidRPr="002D50E5" w:rsidRDefault="00B128DD" w:rsidP="00B26D22">
      <w:pPr>
        <w:ind w:right="-55"/>
        <w:jc w:val="both"/>
        <w:rPr>
          <w:sz w:val="22"/>
          <w:szCs w:val="22"/>
        </w:rPr>
      </w:pPr>
    </w:p>
    <w:p w14:paraId="0486DB49" w14:textId="72EE52B6" w:rsidR="00B4404C" w:rsidRPr="007E5BBA" w:rsidRDefault="00B26D22" w:rsidP="0003473D">
      <w:pPr>
        <w:ind w:right="-55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2.2</w:t>
      </w:r>
      <w:r>
        <w:rPr>
          <w:b/>
          <w:iCs/>
          <w:sz w:val="28"/>
          <w:szCs w:val="28"/>
        </w:rPr>
        <w:tab/>
      </w:r>
      <w:r w:rsidR="00871608">
        <w:rPr>
          <w:b/>
          <w:iCs/>
          <w:sz w:val="28"/>
          <w:szCs w:val="28"/>
        </w:rPr>
        <w:t xml:space="preserve">Summary of the </w:t>
      </w:r>
      <w:r w:rsidR="00B4404C" w:rsidRPr="00FF314E">
        <w:rPr>
          <w:b/>
          <w:iCs/>
          <w:sz w:val="28"/>
          <w:szCs w:val="28"/>
        </w:rPr>
        <w:t xml:space="preserve">Internal Audit </w:t>
      </w:r>
      <w:r w:rsidR="00BB7789" w:rsidRPr="00FF314E">
        <w:rPr>
          <w:b/>
          <w:iCs/>
          <w:sz w:val="28"/>
          <w:szCs w:val="28"/>
        </w:rPr>
        <w:t>&amp; CAFT Progress</w:t>
      </w:r>
      <w:r w:rsidR="00B4404C" w:rsidRPr="00FF314E">
        <w:rPr>
          <w:b/>
          <w:iCs/>
          <w:sz w:val="28"/>
          <w:szCs w:val="28"/>
        </w:rPr>
        <w:t xml:space="preserve"> Report </w:t>
      </w:r>
    </w:p>
    <w:p w14:paraId="110FC7BA" w14:textId="327146F3" w:rsidR="23595360" w:rsidRPr="0003473D" w:rsidRDefault="23595360" w:rsidP="23595360">
      <w:pPr>
        <w:ind w:right="-55"/>
        <w:jc w:val="both"/>
        <w:rPr>
          <w:b/>
          <w:bCs/>
          <w:sz w:val="16"/>
          <w:szCs w:val="16"/>
        </w:rPr>
      </w:pPr>
    </w:p>
    <w:p w14:paraId="04EBB5E2" w14:textId="41B5A70C" w:rsidR="00A00DB5" w:rsidRDefault="00B4404C" w:rsidP="00526E82">
      <w:pPr>
        <w:pStyle w:val="ListParagraph"/>
        <w:numPr>
          <w:ilvl w:val="0"/>
          <w:numId w:val="21"/>
        </w:numPr>
        <w:ind w:left="567" w:right="-55" w:hanging="567"/>
        <w:jc w:val="both"/>
      </w:pPr>
      <w:r w:rsidRPr="00B4404C">
        <w:t>Overall</w:t>
      </w:r>
      <w:r w:rsidR="00E47C67" w:rsidRPr="00B4404C">
        <w:t>,</w:t>
      </w:r>
      <w:r w:rsidRPr="00B4404C">
        <w:t xml:space="preserve"> Internal Audit has </w:t>
      </w:r>
      <w:r w:rsidR="00920E7F">
        <w:t xml:space="preserve">achieved </w:t>
      </w:r>
      <w:r w:rsidR="20434AB0">
        <w:t>75</w:t>
      </w:r>
      <w:r>
        <w:t xml:space="preserve">% of the </w:t>
      </w:r>
      <w:r w:rsidR="7CDED0A2">
        <w:t>revised</w:t>
      </w:r>
      <w:r>
        <w:t xml:space="preserve"> </w:t>
      </w:r>
      <w:r w:rsidR="00BB7789">
        <w:t>2023/24</w:t>
      </w:r>
      <w:r>
        <w:t xml:space="preserve"> annual internal audit plan</w:t>
      </w:r>
      <w:r w:rsidR="008629E0">
        <w:t xml:space="preserve">, </w:t>
      </w:r>
      <w:r w:rsidR="00861D03">
        <w:t>which is slightly below</w:t>
      </w:r>
      <w:r w:rsidR="003D3773">
        <w:t xml:space="preserve"> </w:t>
      </w:r>
      <w:r w:rsidR="0088105A">
        <w:t xml:space="preserve">the </w:t>
      </w:r>
      <w:r w:rsidR="003D3773">
        <w:t>target</w:t>
      </w:r>
      <w:r w:rsidR="008629E0">
        <w:t xml:space="preserve"> for the full year </w:t>
      </w:r>
      <w:r w:rsidR="00861D03">
        <w:t>of</w:t>
      </w:r>
      <w:r w:rsidR="008629E0">
        <w:t xml:space="preserve"> </w:t>
      </w:r>
      <w:r w:rsidR="00DE1E63">
        <w:t>90%.</w:t>
      </w:r>
      <w:r>
        <w:t xml:space="preserve">  A total of </w:t>
      </w:r>
      <w:r w:rsidR="3534A6A1">
        <w:t>54</w:t>
      </w:r>
      <w:r>
        <w:t xml:space="preserve"> recommendations were made to management to improve internal controls of which </w:t>
      </w:r>
      <w:r w:rsidR="003D3773">
        <w:t>100</w:t>
      </w:r>
      <w:r>
        <w:t xml:space="preserve">% were agreed for implementation </w:t>
      </w:r>
      <w:r w:rsidR="007B2E75">
        <w:t xml:space="preserve">by management, </w:t>
      </w:r>
      <w:r>
        <w:t>exceeding the 95% target</w:t>
      </w:r>
      <w:r w:rsidRPr="00945CFD">
        <w:t>.</w:t>
      </w:r>
      <w:r w:rsidRPr="00B4404C">
        <w:t xml:space="preserve"> </w:t>
      </w:r>
    </w:p>
    <w:p w14:paraId="4F1262C9" w14:textId="77777777" w:rsidR="00A00DB5" w:rsidRPr="00276DF3" w:rsidRDefault="00A00DB5" w:rsidP="00526E82">
      <w:pPr>
        <w:ind w:left="567" w:right="-55" w:hanging="567"/>
        <w:jc w:val="both"/>
        <w:rPr>
          <w:sz w:val="16"/>
          <w:szCs w:val="16"/>
        </w:rPr>
      </w:pPr>
    </w:p>
    <w:p w14:paraId="7E60F135" w14:textId="091D6D94" w:rsidR="004E5A15" w:rsidRDefault="00B4404C" w:rsidP="006B4ECA">
      <w:pPr>
        <w:pStyle w:val="ListParagraph"/>
        <w:numPr>
          <w:ilvl w:val="0"/>
          <w:numId w:val="21"/>
        </w:numPr>
        <w:ind w:left="567" w:right="-55" w:hanging="567"/>
        <w:jc w:val="both"/>
      </w:pPr>
      <w:r w:rsidRPr="00B4404C">
        <w:t>Appendix 1 details the Head of Internal Audit</w:t>
      </w:r>
      <w:r w:rsidR="003D3773">
        <w:t>’s draft</w:t>
      </w:r>
      <w:r w:rsidRPr="00B4404C">
        <w:t xml:space="preserve"> </w:t>
      </w:r>
      <w:r w:rsidR="00981585">
        <w:t>o</w:t>
      </w:r>
      <w:r w:rsidRPr="00B4404C">
        <w:t>pinion, provides a summary of all the work undertaken during the year</w:t>
      </w:r>
      <w:r w:rsidR="00C86E1F">
        <w:t xml:space="preserve"> </w:t>
      </w:r>
      <w:r w:rsidRPr="00B4404C">
        <w:t xml:space="preserve">and the performance of Internal Audit against the agreed key performance indicators. </w:t>
      </w:r>
      <w:r w:rsidR="008030F6">
        <w:t xml:space="preserve">A summary of the findings of a </w:t>
      </w:r>
      <w:bookmarkStart w:id="2" w:name="_Int_vNYyKAKq"/>
      <w:proofErr w:type="spellStart"/>
      <w:r w:rsidR="008030F6">
        <w:t>self assessment</w:t>
      </w:r>
      <w:bookmarkEnd w:id="2"/>
      <w:proofErr w:type="spellEnd"/>
      <w:r w:rsidR="008030F6">
        <w:t xml:space="preserve"> carried out </w:t>
      </w:r>
      <w:proofErr w:type="spellStart"/>
      <w:r w:rsidR="008030F6">
        <w:t>be</w:t>
      </w:r>
      <w:proofErr w:type="spellEnd"/>
      <w:r w:rsidR="008030F6">
        <w:t xml:space="preserve"> the Interim Head of Internal Audit of the compliance with the Public Sector Internal Audit Standards (PSIAS)</w:t>
      </w:r>
      <w:r w:rsidR="00905C6D">
        <w:t xml:space="preserve"> is also </w:t>
      </w:r>
      <w:r w:rsidR="00751DDA">
        <w:t>provided</w:t>
      </w:r>
      <w:r w:rsidR="008030F6">
        <w:t>.</w:t>
      </w:r>
    </w:p>
    <w:p w14:paraId="5FDF1251" w14:textId="77777777" w:rsidR="006B4A42" w:rsidRPr="00276DF3" w:rsidRDefault="006B4A42" w:rsidP="006B4A42">
      <w:pPr>
        <w:pStyle w:val="ListParagraph"/>
        <w:rPr>
          <w:sz w:val="16"/>
          <w:szCs w:val="16"/>
        </w:rPr>
      </w:pPr>
    </w:p>
    <w:p w14:paraId="0B1D1A8F" w14:textId="452D61A5" w:rsidR="36C7CA44" w:rsidRDefault="006B4ECA" w:rsidP="006B4A42">
      <w:pPr>
        <w:pStyle w:val="ListParagraph"/>
        <w:numPr>
          <w:ilvl w:val="0"/>
          <w:numId w:val="21"/>
        </w:numPr>
        <w:ind w:left="567" w:right="-55" w:hanging="567"/>
        <w:jc w:val="both"/>
      </w:pPr>
      <w:r>
        <w:t>In addition, a</w:t>
      </w:r>
      <w:r w:rsidR="00104EC7">
        <w:t xml:space="preserve"> statistical summary of the work undertaken by the </w:t>
      </w:r>
      <w:r w:rsidR="008D08A7">
        <w:t xml:space="preserve">Corporate </w:t>
      </w:r>
      <w:bookmarkStart w:id="3" w:name="_Int_TIiFK51S"/>
      <w:proofErr w:type="spellStart"/>
      <w:r w:rsidR="008D08A7">
        <w:t>Anti Fraud</w:t>
      </w:r>
      <w:bookmarkEnd w:id="3"/>
      <w:proofErr w:type="spellEnd"/>
      <w:r w:rsidR="008D08A7">
        <w:t xml:space="preserve"> Team</w:t>
      </w:r>
      <w:r w:rsidR="00104EC7">
        <w:t xml:space="preserve"> for the period to </w:t>
      </w:r>
      <w:r w:rsidR="003E1D74">
        <w:t>29 February 2024</w:t>
      </w:r>
      <w:r w:rsidR="00104EC7">
        <w:t xml:space="preserve"> is </w:t>
      </w:r>
      <w:r w:rsidR="006B4A42">
        <w:t>included</w:t>
      </w:r>
      <w:r w:rsidR="00104EC7">
        <w:t>. In summary, the key financial benefits to arise from selected key areas of enquiry are as follows: -</w:t>
      </w:r>
    </w:p>
    <w:p w14:paraId="3DF888A2" w14:textId="77777777" w:rsidR="006B4A42" w:rsidRDefault="006B4A42" w:rsidP="006B4A42">
      <w:pPr>
        <w:pStyle w:val="ListParagraph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95"/>
        <w:gridCol w:w="2602"/>
        <w:gridCol w:w="3356"/>
      </w:tblGrid>
      <w:tr w:rsidR="0088256A" w:rsidRPr="00340163" w14:paraId="403F5C68" w14:textId="77777777" w:rsidTr="0088256A">
        <w:tc>
          <w:tcPr>
            <w:tcW w:w="2395" w:type="dxa"/>
          </w:tcPr>
          <w:p w14:paraId="59C7BFDC" w14:textId="2E9A06B9" w:rsidR="0088256A" w:rsidRPr="00340163" w:rsidRDefault="0088256A" w:rsidP="006B4A42">
            <w:pPr>
              <w:pStyle w:val="ListParagraph"/>
              <w:ind w:left="0" w:right="-55"/>
              <w:jc w:val="both"/>
              <w:rPr>
                <w:b/>
                <w:bCs/>
              </w:rPr>
            </w:pPr>
            <w:r w:rsidRPr="00340163">
              <w:rPr>
                <w:b/>
                <w:bCs/>
              </w:rPr>
              <w:t>Investigation Area</w:t>
            </w:r>
          </w:p>
        </w:tc>
        <w:tc>
          <w:tcPr>
            <w:tcW w:w="2602" w:type="dxa"/>
          </w:tcPr>
          <w:p w14:paraId="3DDE70B9" w14:textId="2E81977F" w:rsidR="0088256A" w:rsidRPr="00340163" w:rsidRDefault="0088256A" w:rsidP="003321C0">
            <w:pPr>
              <w:pStyle w:val="ListParagraph"/>
              <w:ind w:left="0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45769C">
              <w:rPr>
                <w:b/>
                <w:bCs/>
              </w:rPr>
              <w:t>Completed Investigations</w:t>
            </w:r>
            <w:r w:rsidR="00E9732E">
              <w:rPr>
                <w:b/>
                <w:bCs/>
              </w:rPr>
              <w:t xml:space="preserve"> with positive outcomes</w:t>
            </w:r>
          </w:p>
        </w:tc>
        <w:tc>
          <w:tcPr>
            <w:tcW w:w="3356" w:type="dxa"/>
          </w:tcPr>
          <w:p w14:paraId="51894495" w14:textId="77777777" w:rsidR="005B0E6D" w:rsidRDefault="0088256A" w:rsidP="003321C0">
            <w:pPr>
              <w:pStyle w:val="ListParagraph"/>
              <w:ind w:left="0" w:right="-55"/>
              <w:jc w:val="center"/>
              <w:rPr>
                <w:b/>
                <w:bCs/>
              </w:rPr>
            </w:pPr>
            <w:r w:rsidRPr="00340163">
              <w:rPr>
                <w:b/>
                <w:bCs/>
              </w:rPr>
              <w:t>Estimated Savings</w:t>
            </w:r>
            <w:r w:rsidR="008811A8">
              <w:rPr>
                <w:b/>
                <w:bCs/>
              </w:rPr>
              <w:t>/Avoidance of Loss</w:t>
            </w:r>
          </w:p>
          <w:p w14:paraId="64BD9301" w14:textId="1A18F0CE" w:rsidR="0088256A" w:rsidRDefault="0088256A" w:rsidP="003321C0">
            <w:pPr>
              <w:pStyle w:val="ListParagraph"/>
              <w:ind w:left="0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Arising from Investigations</w:t>
            </w:r>
          </w:p>
          <w:p w14:paraId="5F183F40" w14:textId="73FFA904" w:rsidR="0088256A" w:rsidRPr="00340163" w:rsidRDefault="0088256A" w:rsidP="005D1222">
            <w:pPr>
              <w:pStyle w:val="ListParagraph"/>
              <w:ind w:left="0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88256A" w14:paraId="62279E8E" w14:textId="77777777" w:rsidTr="0088256A">
        <w:tc>
          <w:tcPr>
            <w:tcW w:w="2395" w:type="dxa"/>
          </w:tcPr>
          <w:p w14:paraId="59C8D9AC" w14:textId="4B8BFA72" w:rsidR="0088256A" w:rsidRDefault="0088256A" w:rsidP="006B4A42">
            <w:pPr>
              <w:pStyle w:val="ListParagraph"/>
              <w:ind w:left="0" w:right="-55"/>
              <w:jc w:val="both"/>
            </w:pPr>
            <w:r>
              <w:t>Tenancy</w:t>
            </w:r>
          </w:p>
        </w:tc>
        <w:tc>
          <w:tcPr>
            <w:tcW w:w="2602" w:type="dxa"/>
          </w:tcPr>
          <w:p w14:paraId="2BC74804" w14:textId="47974EA1" w:rsidR="0088256A" w:rsidRPr="003E1D74" w:rsidRDefault="0096F12F" w:rsidP="005D1222">
            <w:pPr>
              <w:pStyle w:val="ListParagraph"/>
              <w:ind w:left="0" w:right="-55"/>
              <w:jc w:val="center"/>
              <w:rPr>
                <w:rStyle w:val="normaltextrun"/>
                <w:bdr w:val="none" w:sz="0" w:space="0" w:color="auto" w:frame="1"/>
              </w:rPr>
            </w:pPr>
            <w:r w:rsidRPr="26F9B9B5">
              <w:rPr>
                <w:rStyle w:val="normaltextrun"/>
                <w:bdr w:val="none" w:sz="0" w:space="0" w:color="auto" w:frame="1"/>
              </w:rPr>
              <w:t>8</w:t>
            </w:r>
          </w:p>
        </w:tc>
        <w:tc>
          <w:tcPr>
            <w:tcW w:w="3356" w:type="dxa"/>
          </w:tcPr>
          <w:p w14:paraId="095377CD" w14:textId="3313F1D4" w:rsidR="0088256A" w:rsidRPr="003E1D74" w:rsidRDefault="0088256A" w:rsidP="005D1222">
            <w:pPr>
              <w:pStyle w:val="ListParagraph"/>
              <w:ind w:left="0" w:right="-55"/>
              <w:jc w:val="center"/>
            </w:pPr>
            <w:r w:rsidRPr="26F9B9B5">
              <w:rPr>
                <w:rStyle w:val="normaltextrun"/>
                <w:bdr w:val="none" w:sz="0" w:space="0" w:color="auto" w:frame="1"/>
              </w:rPr>
              <w:t>651,</w:t>
            </w:r>
            <w:r w:rsidR="42272DFB" w:rsidRPr="26F9B9B5">
              <w:rPr>
                <w:rStyle w:val="normaltextrun"/>
                <w:bdr w:val="none" w:sz="0" w:space="0" w:color="auto" w:frame="1"/>
              </w:rPr>
              <w:t>250</w:t>
            </w:r>
          </w:p>
        </w:tc>
      </w:tr>
      <w:tr w:rsidR="0088256A" w14:paraId="0082B4D5" w14:textId="77777777" w:rsidTr="0088256A">
        <w:tc>
          <w:tcPr>
            <w:tcW w:w="2395" w:type="dxa"/>
          </w:tcPr>
          <w:p w14:paraId="706126C1" w14:textId="47651E48" w:rsidR="0088256A" w:rsidRDefault="0088256A" w:rsidP="006B4A42">
            <w:pPr>
              <w:pStyle w:val="ListParagraph"/>
              <w:ind w:left="0" w:right="-55"/>
              <w:jc w:val="both"/>
            </w:pPr>
            <w:r>
              <w:t>NFI</w:t>
            </w:r>
          </w:p>
        </w:tc>
        <w:tc>
          <w:tcPr>
            <w:tcW w:w="2602" w:type="dxa"/>
          </w:tcPr>
          <w:p w14:paraId="72BA8DDB" w14:textId="7BC4CA71" w:rsidR="0088256A" w:rsidRPr="003E1D74" w:rsidRDefault="0092014E" w:rsidP="00EB085F">
            <w:pPr>
              <w:pStyle w:val="ListParagraph"/>
              <w:ind w:left="0" w:right="-55"/>
              <w:jc w:val="center"/>
              <w:rPr>
                <w:rStyle w:val="normaltextrun"/>
                <w:shd w:val="clear" w:color="auto" w:fill="FFFFFF"/>
              </w:rPr>
            </w:pPr>
            <w:r w:rsidRPr="26F9B9B5">
              <w:rPr>
                <w:rStyle w:val="normaltextrun"/>
                <w:shd w:val="clear" w:color="auto" w:fill="FFFFFF"/>
              </w:rPr>
              <w:t>63</w:t>
            </w:r>
          </w:p>
        </w:tc>
        <w:tc>
          <w:tcPr>
            <w:tcW w:w="3356" w:type="dxa"/>
          </w:tcPr>
          <w:p w14:paraId="5A18B272" w14:textId="5901A53B" w:rsidR="0088256A" w:rsidRPr="003E1D74" w:rsidRDefault="4E001B23" w:rsidP="00EB085F">
            <w:pPr>
              <w:pStyle w:val="ListParagraph"/>
              <w:ind w:left="0" w:right="-55"/>
              <w:jc w:val="center"/>
              <w:rPr>
                <w:rStyle w:val="normaltextrun"/>
              </w:rPr>
            </w:pPr>
            <w:r w:rsidRPr="26F9B9B5">
              <w:rPr>
                <w:rStyle w:val="normaltextrun"/>
                <w:shd w:val="clear" w:color="auto" w:fill="FFFFFF"/>
              </w:rPr>
              <w:t>4</w:t>
            </w:r>
            <w:r w:rsidR="024BF2E6" w:rsidRPr="26F9B9B5">
              <w:rPr>
                <w:rStyle w:val="normaltextrun"/>
                <w:shd w:val="clear" w:color="auto" w:fill="FFFFFF"/>
              </w:rPr>
              <w:t>13,</w:t>
            </w:r>
            <w:r w:rsidR="4AEC950F" w:rsidRPr="26F9B9B5">
              <w:rPr>
                <w:rStyle w:val="normaltextrun"/>
                <w:shd w:val="clear" w:color="auto" w:fill="FFFFFF"/>
              </w:rPr>
              <w:t>912</w:t>
            </w:r>
          </w:p>
        </w:tc>
      </w:tr>
      <w:tr w:rsidR="0088256A" w14:paraId="7ABB57FC" w14:textId="77777777" w:rsidTr="0088256A">
        <w:tc>
          <w:tcPr>
            <w:tcW w:w="2395" w:type="dxa"/>
          </w:tcPr>
          <w:p w14:paraId="315FF4B2" w14:textId="09EA7C14" w:rsidR="0088256A" w:rsidRDefault="0045769C" w:rsidP="006B4A42">
            <w:pPr>
              <w:pStyle w:val="ListParagraph"/>
              <w:ind w:left="0" w:right="-55"/>
              <w:jc w:val="both"/>
            </w:pPr>
            <w:r w:rsidRPr="0045769C">
              <w:t>Right to Buy</w:t>
            </w:r>
            <w:r w:rsidRPr="0045769C">
              <w:tab/>
            </w:r>
            <w:r w:rsidRPr="0045769C">
              <w:tab/>
            </w:r>
          </w:p>
        </w:tc>
        <w:tc>
          <w:tcPr>
            <w:tcW w:w="2602" w:type="dxa"/>
          </w:tcPr>
          <w:p w14:paraId="7D447753" w14:textId="12B060D1" w:rsidR="0088256A" w:rsidRPr="003E1D74" w:rsidRDefault="0092014E" w:rsidP="00EB085F">
            <w:pPr>
              <w:pStyle w:val="ListParagraph"/>
              <w:ind w:left="0" w:right="-55"/>
              <w:jc w:val="center"/>
            </w:pPr>
            <w:r>
              <w:t>2</w:t>
            </w:r>
          </w:p>
        </w:tc>
        <w:tc>
          <w:tcPr>
            <w:tcW w:w="3356" w:type="dxa"/>
          </w:tcPr>
          <w:p w14:paraId="493B15AD" w14:textId="03A6CF4E" w:rsidR="0088256A" w:rsidRPr="003E1D74" w:rsidRDefault="0045769C" w:rsidP="00EB085F">
            <w:pPr>
              <w:pStyle w:val="ListParagraph"/>
              <w:ind w:left="0" w:right="-55"/>
              <w:jc w:val="center"/>
            </w:pPr>
            <w:r>
              <w:t>244,100</w:t>
            </w:r>
          </w:p>
        </w:tc>
      </w:tr>
      <w:tr w:rsidR="006D2C24" w14:paraId="04ED625F" w14:textId="77777777" w:rsidTr="0088256A">
        <w:tc>
          <w:tcPr>
            <w:tcW w:w="2395" w:type="dxa"/>
          </w:tcPr>
          <w:p w14:paraId="46EDA93F" w14:textId="0EAC964F" w:rsidR="006D2C24" w:rsidRPr="0045769C" w:rsidRDefault="00AD06DA" w:rsidP="006B4A42">
            <w:pPr>
              <w:pStyle w:val="ListParagraph"/>
              <w:ind w:left="0" w:right="-55"/>
              <w:jc w:val="both"/>
            </w:pPr>
            <w:r>
              <w:t>Internal/Employee</w:t>
            </w:r>
          </w:p>
        </w:tc>
        <w:tc>
          <w:tcPr>
            <w:tcW w:w="2602" w:type="dxa"/>
          </w:tcPr>
          <w:p w14:paraId="2682B4E6" w14:textId="3647B40D" w:rsidR="006D2C24" w:rsidRPr="003E1D74" w:rsidRDefault="619E657E" w:rsidP="00EB085F">
            <w:pPr>
              <w:pStyle w:val="ListParagraph"/>
              <w:ind w:left="0" w:right="-55"/>
              <w:jc w:val="center"/>
            </w:pPr>
            <w:r>
              <w:t>5</w:t>
            </w:r>
          </w:p>
        </w:tc>
        <w:tc>
          <w:tcPr>
            <w:tcW w:w="3356" w:type="dxa"/>
          </w:tcPr>
          <w:p w14:paraId="7F629B51" w14:textId="75F41502" w:rsidR="006D2C24" w:rsidRPr="003E1D74" w:rsidRDefault="619E657E" w:rsidP="26F9B9B5">
            <w:pPr>
              <w:pStyle w:val="ListParagraph"/>
              <w:spacing w:line="259" w:lineRule="auto"/>
              <w:ind w:left="0" w:right="-55"/>
              <w:jc w:val="center"/>
              <w:rPr>
                <w:rStyle w:val="normaltextrun"/>
              </w:rPr>
            </w:pPr>
            <w:r w:rsidRPr="26F9B9B5">
              <w:rPr>
                <w:rStyle w:val="normaltextrun"/>
              </w:rPr>
              <w:t>300,099</w:t>
            </w:r>
          </w:p>
        </w:tc>
      </w:tr>
      <w:tr w:rsidR="00AD06DA" w14:paraId="78BA3690" w14:textId="77777777" w:rsidTr="0088256A">
        <w:tc>
          <w:tcPr>
            <w:tcW w:w="2395" w:type="dxa"/>
          </w:tcPr>
          <w:p w14:paraId="3D707525" w14:textId="2AC73FED" w:rsidR="00AD06DA" w:rsidRDefault="00905C6D" w:rsidP="006B4A42">
            <w:pPr>
              <w:pStyle w:val="ListParagraph"/>
              <w:ind w:left="0" w:right="-55"/>
              <w:jc w:val="both"/>
            </w:pPr>
            <w:r>
              <w:t>Housing Application</w:t>
            </w:r>
          </w:p>
        </w:tc>
        <w:tc>
          <w:tcPr>
            <w:tcW w:w="2602" w:type="dxa"/>
          </w:tcPr>
          <w:p w14:paraId="1E4AF1D2" w14:textId="3CB7144E" w:rsidR="00AD06DA" w:rsidRPr="003E1D74" w:rsidRDefault="00905C6D" w:rsidP="00EB085F">
            <w:pPr>
              <w:pStyle w:val="ListParagraph"/>
              <w:ind w:left="0" w:right="-55"/>
              <w:jc w:val="center"/>
            </w:pPr>
            <w:r>
              <w:t>1</w:t>
            </w:r>
          </w:p>
        </w:tc>
        <w:tc>
          <w:tcPr>
            <w:tcW w:w="3356" w:type="dxa"/>
          </w:tcPr>
          <w:p w14:paraId="3C2BD5EA" w14:textId="313E6C07" w:rsidR="00AD06DA" w:rsidRPr="003E1D74" w:rsidRDefault="00905C6D" w:rsidP="00EB085F">
            <w:pPr>
              <w:pStyle w:val="ListParagraph"/>
              <w:ind w:left="0" w:right="-55"/>
              <w:jc w:val="center"/>
              <w:rPr>
                <w:rStyle w:val="normaltextrun"/>
                <w:shd w:val="clear" w:color="auto" w:fill="FFFFFF"/>
              </w:rPr>
            </w:pPr>
            <w:r w:rsidRPr="26F9B9B5">
              <w:rPr>
                <w:rStyle w:val="normaltextrun"/>
                <w:shd w:val="clear" w:color="auto" w:fill="FFFFFF"/>
              </w:rPr>
              <w:t>6,140</w:t>
            </w:r>
          </w:p>
        </w:tc>
      </w:tr>
    </w:tbl>
    <w:p w14:paraId="3D25BE40" w14:textId="77777777" w:rsidR="007A3754" w:rsidRDefault="007A3754" w:rsidP="00905C6D"/>
    <w:p w14:paraId="3469E0D9" w14:textId="4845429B" w:rsidR="00213BE7" w:rsidRDefault="003D3773" w:rsidP="00F24C46">
      <w:pPr>
        <w:pStyle w:val="Heading2"/>
        <w:spacing w:before="0"/>
        <w:ind w:right="-55"/>
      </w:pPr>
      <w:r>
        <w:t>L</w:t>
      </w:r>
      <w:r w:rsidR="00213BE7">
        <w:t>egal Implications</w:t>
      </w:r>
    </w:p>
    <w:p w14:paraId="3C1D5F43" w14:textId="77777777" w:rsidR="00406B99" w:rsidRPr="00802FA4" w:rsidRDefault="00406B99" w:rsidP="00F24C46">
      <w:pPr>
        <w:ind w:right="-55"/>
        <w:rPr>
          <w:rFonts w:cs="Arial"/>
          <w:sz w:val="16"/>
          <w:szCs w:val="16"/>
        </w:rPr>
      </w:pPr>
    </w:p>
    <w:p w14:paraId="7A11F99B" w14:textId="4F02DE77" w:rsidR="00406B99" w:rsidRPr="002D50E5" w:rsidRDefault="00406B99" w:rsidP="00F24C46">
      <w:pPr>
        <w:ind w:right="-55"/>
        <w:jc w:val="both"/>
        <w:rPr>
          <w:rFonts w:cs="Arial"/>
          <w:sz w:val="22"/>
          <w:szCs w:val="22"/>
        </w:rPr>
      </w:pPr>
      <w:r w:rsidRPr="002D50E5">
        <w:rPr>
          <w:rFonts w:cs="Arial"/>
          <w:sz w:val="22"/>
          <w:szCs w:val="22"/>
        </w:rPr>
        <w:t>Accounts &amp; Audit Regulations 2015</w:t>
      </w:r>
    </w:p>
    <w:p w14:paraId="1EA1B117" w14:textId="77777777" w:rsidR="00406B99" w:rsidRPr="00276DF3" w:rsidRDefault="00406B99" w:rsidP="00F24C46">
      <w:pPr>
        <w:ind w:right="-55"/>
        <w:jc w:val="both"/>
        <w:rPr>
          <w:rFonts w:cs="Arial"/>
          <w:sz w:val="22"/>
          <w:szCs w:val="22"/>
        </w:rPr>
      </w:pPr>
    </w:p>
    <w:p w14:paraId="3C137AA0" w14:textId="3ADA9CB8" w:rsidR="00406B99" w:rsidRPr="00406B99" w:rsidRDefault="00406B99" w:rsidP="00F24C46">
      <w:pPr>
        <w:autoSpaceDE w:val="0"/>
        <w:autoSpaceDN w:val="0"/>
        <w:adjustRightInd w:val="0"/>
        <w:ind w:right="-55"/>
        <w:jc w:val="both"/>
        <w:rPr>
          <w:rFonts w:cs="Arial"/>
          <w:b/>
          <w:bCs/>
          <w:szCs w:val="24"/>
          <w:lang w:eastAsia="en-GB"/>
        </w:rPr>
      </w:pPr>
      <w:r w:rsidRPr="00406B99">
        <w:rPr>
          <w:rFonts w:cs="Arial"/>
          <w:b/>
          <w:bCs/>
          <w:szCs w:val="24"/>
          <w:lang w:eastAsia="en-GB"/>
        </w:rPr>
        <w:t xml:space="preserve">Internal </w:t>
      </w:r>
      <w:r w:rsidR="005D5D3C">
        <w:rPr>
          <w:rFonts w:cs="Arial"/>
          <w:b/>
          <w:bCs/>
          <w:szCs w:val="24"/>
          <w:lang w:eastAsia="en-GB"/>
        </w:rPr>
        <w:t>A</w:t>
      </w:r>
      <w:r w:rsidRPr="00406B99">
        <w:rPr>
          <w:rFonts w:cs="Arial"/>
          <w:b/>
          <w:bCs/>
          <w:szCs w:val="24"/>
          <w:lang w:eastAsia="en-GB"/>
        </w:rPr>
        <w:t>udit</w:t>
      </w:r>
    </w:p>
    <w:p w14:paraId="0BC28D81" w14:textId="1DEEDDFA" w:rsidR="003D2FFE" w:rsidRPr="002D50E5" w:rsidRDefault="00406B99" w:rsidP="00F24C46">
      <w:pPr>
        <w:pStyle w:val="Heading4"/>
        <w:keepNext w:val="0"/>
        <w:spacing w:after="0"/>
        <w:ind w:right="-55"/>
        <w:jc w:val="both"/>
        <w:rPr>
          <w:b w:val="0"/>
          <w:sz w:val="22"/>
          <w:szCs w:val="22"/>
          <w:lang w:eastAsia="en-GB"/>
        </w:rPr>
      </w:pPr>
      <w:r w:rsidRPr="002D50E5">
        <w:rPr>
          <w:b w:val="0"/>
          <w:sz w:val="22"/>
          <w:szCs w:val="22"/>
          <w:lang w:eastAsia="en-GB"/>
        </w:rPr>
        <w:t>5</w:t>
      </w:r>
      <w:r w:rsidRPr="002D50E5">
        <w:rPr>
          <w:bCs/>
          <w:sz w:val="22"/>
          <w:szCs w:val="22"/>
          <w:lang w:eastAsia="en-GB"/>
        </w:rPr>
        <w:t>.</w:t>
      </w:r>
      <w:r w:rsidR="009E54D4" w:rsidRPr="002D50E5">
        <w:rPr>
          <w:bCs/>
          <w:sz w:val="22"/>
          <w:szCs w:val="22"/>
          <w:lang w:eastAsia="en-GB"/>
        </w:rPr>
        <w:t xml:space="preserve"> </w:t>
      </w:r>
      <w:r w:rsidRPr="002D50E5">
        <w:rPr>
          <w:b w:val="0"/>
          <w:sz w:val="22"/>
          <w:szCs w:val="22"/>
          <w:lang w:eastAsia="en-GB"/>
        </w:rPr>
        <w:t xml:space="preserve">(1) A relevant authority must undertake an effective internal audit to evaluate the effectiveness of its risk management, control and governance processes, </w:t>
      </w:r>
      <w:bookmarkStart w:id="4" w:name="_Int_74E5x7xm"/>
      <w:r w:rsidRPr="002D50E5">
        <w:rPr>
          <w:b w:val="0"/>
          <w:sz w:val="22"/>
          <w:szCs w:val="22"/>
          <w:lang w:eastAsia="en-GB"/>
        </w:rPr>
        <w:t>taking into account</w:t>
      </w:r>
      <w:bookmarkEnd w:id="4"/>
      <w:r w:rsidRPr="002D50E5">
        <w:rPr>
          <w:b w:val="0"/>
          <w:sz w:val="22"/>
          <w:szCs w:val="22"/>
          <w:lang w:eastAsia="en-GB"/>
        </w:rPr>
        <w:t xml:space="preserve"> public sector internal auditing standards or guidance.</w:t>
      </w:r>
    </w:p>
    <w:p w14:paraId="21E15AA8" w14:textId="77777777" w:rsidR="00D91480" w:rsidRPr="002D50E5" w:rsidRDefault="00D91480" w:rsidP="00F24C46">
      <w:pPr>
        <w:ind w:right="-55"/>
        <w:jc w:val="both"/>
        <w:rPr>
          <w:sz w:val="22"/>
          <w:szCs w:val="22"/>
          <w:lang w:eastAsia="en-GB"/>
        </w:rPr>
      </w:pPr>
    </w:p>
    <w:p w14:paraId="41BB405D" w14:textId="77777777" w:rsidR="002A2389" w:rsidRDefault="002A2389" w:rsidP="00F24C46">
      <w:pPr>
        <w:pStyle w:val="Heading2"/>
        <w:spacing w:before="0"/>
        <w:ind w:right="-55"/>
        <w:jc w:val="both"/>
      </w:pPr>
      <w:r>
        <w:t>Financial Implications</w:t>
      </w:r>
    </w:p>
    <w:p w14:paraId="77ACAE35" w14:textId="5E16CD3B" w:rsidR="00406B99" w:rsidRPr="002D50E5" w:rsidRDefault="00406B99" w:rsidP="00F24C46">
      <w:pPr>
        <w:ind w:right="-55"/>
        <w:jc w:val="both"/>
        <w:rPr>
          <w:sz w:val="22"/>
          <w:szCs w:val="22"/>
        </w:rPr>
      </w:pPr>
      <w:r w:rsidRPr="002D50E5">
        <w:rPr>
          <w:sz w:val="22"/>
          <w:szCs w:val="22"/>
        </w:rPr>
        <w:t xml:space="preserve">There are no financial implications to this report, the Internal Audit </w:t>
      </w:r>
      <w:r w:rsidR="00CF019C" w:rsidRPr="002D50E5">
        <w:rPr>
          <w:sz w:val="22"/>
          <w:szCs w:val="22"/>
        </w:rPr>
        <w:t xml:space="preserve">and </w:t>
      </w:r>
      <w:bookmarkStart w:id="5" w:name="_Int_jcfcWYY3"/>
      <w:proofErr w:type="spellStart"/>
      <w:r w:rsidR="00CF019C" w:rsidRPr="002D50E5">
        <w:rPr>
          <w:sz w:val="22"/>
          <w:szCs w:val="22"/>
        </w:rPr>
        <w:t>Anti Fraud</w:t>
      </w:r>
      <w:bookmarkEnd w:id="5"/>
      <w:proofErr w:type="spellEnd"/>
      <w:r w:rsidR="00CF019C" w:rsidRPr="002D50E5">
        <w:rPr>
          <w:sz w:val="22"/>
          <w:szCs w:val="22"/>
        </w:rPr>
        <w:t xml:space="preserve"> S</w:t>
      </w:r>
      <w:r w:rsidRPr="002D50E5">
        <w:rPr>
          <w:sz w:val="22"/>
          <w:szCs w:val="22"/>
        </w:rPr>
        <w:t xml:space="preserve">ervice </w:t>
      </w:r>
      <w:r w:rsidR="00D13BF9" w:rsidRPr="002D50E5">
        <w:rPr>
          <w:sz w:val="22"/>
          <w:szCs w:val="22"/>
        </w:rPr>
        <w:t>is being</w:t>
      </w:r>
      <w:r w:rsidRPr="002D50E5">
        <w:rPr>
          <w:sz w:val="22"/>
          <w:szCs w:val="22"/>
        </w:rPr>
        <w:t xml:space="preserve"> delivered within budget for </w:t>
      </w:r>
      <w:r w:rsidR="00D13BF9" w:rsidRPr="002D50E5">
        <w:rPr>
          <w:sz w:val="22"/>
          <w:szCs w:val="22"/>
        </w:rPr>
        <w:t>2023/24</w:t>
      </w:r>
      <w:r w:rsidRPr="002D50E5">
        <w:rPr>
          <w:sz w:val="22"/>
          <w:szCs w:val="22"/>
        </w:rPr>
        <w:t>.</w:t>
      </w:r>
    </w:p>
    <w:p w14:paraId="41056F70" w14:textId="77777777" w:rsidR="005D5D3C" w:rsidRDefault="005D5D3C" w:rsidP="00F24C46">
      <w:pPr>
        <w:ind w:right="-55"/>
        <w:jc w:val="both"/>
        <w:rPr>
          <w:sz w:val="16"/>
          <w:szCs w:val="16"/>
        </w:rPr>
      </w:pPr>
    </w:p>
    <w:p w14:paraId="5ACE80EE" w14:textId="767A3FB9" w:rsidR="00C32DAE" w:rsidRPr="003D2FFE" w:rsidRDefault="00C32DAE" w:rsidP="00F24C46">
      <w:pPr>
        <w:pStyle w:val="Heading2"/>
        <w:spacing w:before="0"/>
        <w:ind w:right="-55"/>
        <w:jc w:val="both"/>
      </w:pPr>
      <w:r>
        <w:t>Risk Management Implications</w:t>
      </w:r>
    </w:p>
    <w:p w14:paraId="33541738" w14:textId="3584AC6A" w:rsidR="00570F59" w:rsidRPr="002D50E5" w:rsidRDefault="00570F59" w:rsidP="00F24C46">
      <w:pPr>
        <w:ind w:right="-55"/>
        <w:jc w:val="both"/>
        <w:textAlignment w:val="baseline"/>
        <w:rPr>
          <w:rFonts w:ascii="Segoe UI" w:hAnsi="Segoe UI" w:cs="Segoe UI"/>
          <w:sz w:val="22"/>
          <w:szCs w:val="22"/>
          <w:lang w:eastAsia="en-GB"/>
        </w:rPr>
      </w:pPr>
      <w:r w:rsidRPr="002D50E5">
        <w:rPr>
          <w:rFonts w:cs="Arial"/>
          <w:sz w:val="22"/>
          <w:szCs w:val="22"/>
          <w:lang w:val="en-US" w:eastAsia="en-GB"/>
        </w:rPr>
        <w:t>Risks included on corporate or directorate risk register? </w:t>
      </w:r>
      <w:r w:rsidR="67DEC65F" w:rsidRPr="095C8546">
        <w:rPr>
          <w:rFonts w:cs="Arial"/>
          <w:sz w:val="22"/>
          <w:szCs w:val="22"/>
          <w:lang w:val="en-US" w:eastAsia="en-GB"/>
        </w:rPr>
        <w:t xml:space="preserve"> </w:t>
      </w:r>
      <w:r w:rsidRPr="002D50E5">
        <w:rPr>
          <w:rFonts w:cs="Arial"/>
          <w:b/>
          <w:bCs/>
          <w:sz w:val="22"/>
          <w:szCs w:val="22"/>
          <w:lang w:val="en-US" w:eastAsia="en-GB"/>
        </w:rPr>
        <w:t>No</w:t>
      </w:r>
      <w:r w:rsidRPr="002D50E5">
        <w:rPr>
          <w:rFonts w:cs="Arial"/>
          <w:sz w:val="22"/>
          <w:szCs w:val="22"/>
          <w:lang w:val="en-US" w:eastAsia="en-GB"/>
        </w:rPr>
        <w:t> </w:t>
      </w:r>
    </w:p>
    <w:p w14:paraId="798EA811" w14:textId="33CF7F70" w:rsidR="00570F59" w:rsidRDefault="00570F59" w:rsidP="095C8546">
      <w:pPr>
        <w:spacing w:line="259" w:lineRule="auto"/>
        <w:ind w:right="-55"/>
        <w:jc w:val="both"/>
        <w:rPr>
          <w:rFonts w:ascii="Segoe UI" w:hAnsi="Segoe UI" w:cs="Segoe UI"/>
          <w:sz w:val="22"/>
          <w:szCs w:val="22"/>
          <w:lang w:eastAsia="en-GB"/>
        </w:rPr>
      </w:pPr>
      <w:r w:rsidRPr="095C8546">
        <w:rPr>
          <w:rFonts w:cs="Arial"/>
          <w:sz w:val="22"/>
          <w:szCs w:val="22"/>
          <w:lang w:val="en-US" w:eastAsia="en-GB"/>
        </w:rPr>
        <w:t>Separate risk register in place? </w:t>
      </w:r>
      <w:r w:rsidR="0040BD05" w:rsidRPr="095C8546">
        <w:rPr>
          <w:rFonts w:cs="Arial"/>
          <w:sz w:val="22"/>
          <w:szCs w:val="22"/>
          <w:lang w:val="en-US" w:eastAsia="en-GB"/>
        </w:rPr>
        <w:t xml:space="preserve"> </w:t>
      </w:r>
      <w:r w:rsidRPr="095C8546">
        <w:rPr>
          <w:rFonts w:cs="Arial"/>
          <w:b/>
          <w:bCs/>
          <w:sz w:val="22"/>
          <w:szCs w:val="22"/>
          <w:lang w:val="en-US" w:eastAsia="en-GB"/>
        </w:rPr>
        <w:t>No</w:t>
      </w:r>
      <w:r w:rsidRPr="095C8546">
        <w:rPr>
          <w:rFonts w:cs="Arial"/>
          <w:sz w:val="22"/>
          <w:szCs w:val="22"/>
          <w:lang w:val="en-US" w:eastAsia="en-GB"/>
        </w:rPr>
        <w:t> </w:t>
      </w:r>
    </w:p>
    <w:p w14:paraId="44C5764F" w14:textId="56CACEB4" w:rsidR="00570F59" w:rsidRPr="002D50E5" w:rsidRDefault="00B0357E" w:rsidP="00F24C46">
      <w:pPr>
        <w:ind w:right="-55"/>
        <w:jc w:val="both"/>
        <w:textAlignment w:val="baseline"/>
        <w:rPr>
          <w:rFonts w:ascii="Segoe UI" w:hAnsi="Segoe UI" w:cs="Segoe UI"/>
          <w:sz w:val="22"/>
          <w:szCs w:val="22"/>
          <w:lang w:eastAsia="en-GB"/>
        </w:rPr>
      </w:pPr>
      <w:bookmarkStart w:id="6" w:name="_Hlk83909872"/>
      <w:r w:rsidRPr="002D50E5">
        <w:rPr>
          <w:rFonts w:cs="Arial"/>
          <w:sz w:val="22"/>
          <w:szCs w:val="22"/>
          <w:lang w:eastAsia="en-GB"/>
        </w:rPr>
        <w:t>R</w:t>
      </w:r>
      <w:r w:rsidR="00570F59" w:rsidRPr="002D50E5">
        <w:rPr>
          <w:rFonts w:cs="Arial"/>
          <w:sz w:val="22"/>
          <w:szCs w:val="22"/>
          <w:lang w:eastAsia="en-GB"/>
        </w:rPr>
        <w:t>elevant risks contained in the register are attached/summarised below</w:t>
      </w:r>
      <w:r w:rsidRPr="002D50E5">
        <w:rPr>
          <w:rFonts w:cs="Arial"/>
          <w:sz w:val="22"/>
          <w:szCs w:val="22"/>
          <w:lang w:eastAsia="en-GB"/>
        </w:rPr>
        <w:t xml:space="preserve"> -</w:t>
      </w:r>
      <w:r w:rsidR="00570F59" w:rsidRPr="002D50E5">
        <w:rPr>
          <w:rFonts w:cs="Arial"/>
          <w:sz w:val="22"/>
          <w:szCs w:val="22"/>
          <w:lang w:eastAsia="en-GB"/>
        </w:rPr>
        <w:t> </w:t>
      </w:r>
      <w:r w:rsidR="00406B99" w:rsidRPr="002D50E5">
        <w:rPr>
          <w:rFonts w:cs="Arial"/>
          <w:b/>
          <w:bCs/>
          <w:sz w:val="22"/>
          <w:szCs w:val="22"/>
          <w:lang w:val="en-US" w:eastAsia="en-GB"/>
        </w:rPr>
        <w:t xml:space="preserve"> </w:t>
      </w:r>
      <w:r w:rsidRPr="002D50E5">
        <w:rPr>
          <w:rFonts w:cs="Arial"/>
          <w:b/>
          <w:bCs/>
          <w:sz w:val="22"/>
          <w:szCs w:val="22"/>
          <w:lang w:val="en-US" w:eastAsia="en-GB"/>
        </w:rPr>
        <w:t>N</w:t>
      </w:r>
      <w:r w:rsidR="00570F59" w:rsidRPr="002D50E5">
        <w:rPr>
          <w:rFonts w:cs="Arial"/>
          <w:b/>
          <w:bCs/>
          <w:sz w:val="22"/>
          <w:szCs w:val="22"/>
          <w:lang w:val="en-US" w:eastAsia="en-GB"/>
        </w:rPr>
        <w:t>/</w:t>
      </w:r>
      <w:r w:rsidRPr="002D50E5">
        <w:rPr>
          <w:rFonts w:cs="Arial"/>
          <w:b/>
          <w:bCs/>
          <w:sz w:val="22"/>
          <w:szCs w:val="22"/>
          <w:lang w:val="en-US" w:eastAsia="en-GB"/>
        </w:rPr>
        <w:t>A</w:t>
      </w:r>
    </w:p>
    <w:p w14:paraId="64B8F330" w14:textId="77777777" w:rsidR="00276DF3" w:rsidRPr="002D50E5" w:rsidRDefault="00276DF3" w:rsidP="00F24C46">
      <w:pPr>
        <w:ind w:right="-55"/>
        <w:jc w:val="both"/>
        <w:textAlignment w:val="baseline"/>
        <w:rPr>
          <w:rFonts w:cs="Arial"/>
          <w:sz w:val="22"/>
          <w:szCs w:val="22"/>
          <w:lang w:eastAsia="en-GB"/>
        </w:rPr>
      </w:pPr>
      <w:bookmarkStart w:id="7" w:name="_Hlk83909964"/>
    </w:p>
    <w:p w14:paraId="78EA0631" w14:textId="63012D17" w:rsidR="00C616FA" w:rsidRDefault="00406B99" w:rsidP="00F24C46">
      <w:pPr>
        <w:ind w:right="-55"/>
        <w:jc w:val="both"/>
        <w:textAlignment w:val="baseline"/>
        <w:rPr>
          <w:rFonts w:cs="Arial"/>
          <w:szCs w:val="24"/>
          <w:lang w:eastAsia="en-GB"/>
        </w:rPr>
      </w:pPr>
      <w:r w:rsidRPr="00406B99">
        <w:rPr>
          <w:rFonts w:cs="Arial"/>
          <w:szCs w:val="24"/>
          <w:lang w:eastAsia="en-GB"/>
        </w:rPr>
        <w:t xml:space="preserve">The main risk relating to the performance of the internal audit service is </w:t>
      </w:r>
      <w:r>
        <w:rPr>
          <w:rFonts w:cs="Arial"/>
          <w:szCs w:val="24"/>
          <w:lang w:eastAsia="en-GB"/>
        </w:rPr>
        <w:t xml:space="preserve">as </w:t>
      </w:r>
      <w:r w:rsidR="00570F59" w:rsidRPr="00570F59">
        <w:rPr>
          <w:rFonts w:cs="Arial"/>
          <w:szCs w:val="24"/>
          <w:lang w:eastAsia="en-GB"/>
        </w:rPr>
        <w:t>follow</w:t>
      </w:r>
      <w:r>
        <w:rPr>
          <w:rFonts w:cs="Arial"/>
          <w:szCs w:val="24"/>
          <w:lang w:eastAsia="en-GB"/>
        </w:rPr>
        <w:t>s</w:t>
      </w:r>
      <w:r w:rsidR="00570F59" w:rsidRPr="00570F59">
        <w:rPr>
          <w:rFonts w:cs="Arial"/>
          <w:szCs w:val="24"/>
          <w:lang w:eastAsia="en-GB"/>
        </w:rPr>
        <w:t>: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isk description table"/>
      </w:tblPr>
      <w:tblGrid>
        <w:gridCol w:w="2686"/>
        <w:gridCol w:w="5103"/>
        <w:gridCol w:w="1134"/>
      </w:tblGrid>
      <w:tr w:rsidR="00570F59" w:rsidRPr="00570F59" w14:paraId="596F8686" w14:textId="77777777" w:rsidTr="0003473D">
        <w:tc>
          <w:tcPr>
            <w:tcW w:w="2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BC801CA" w14:textId="2FD94983" w:rsidR="00570F59" w:rsidRPr="00570F59" w:rsidRDefault="00570F59" w:rsidP="00570F59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szCs w:val="24"/>
                <w:lang w:eastAsia="en-GB"/>
              </w:rPr>
              <w:t> </w:t>
            </w:r>
            <w:bookmarkEnd w:id="7"/>
            <w:r w:rsidRPr="00570F59">
              <w:rPr>
                <w:rFonts w:cs="Arial"/>
                <w:szCs w:val="24"/>
                <w:lang w:eastAsia="en-GB"/>
              </w:rPr>
              <w:t> </w:t>
            </w:r>
            <w:r w:rsidRPr="00570F59"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2F985E4" w14:textId="0E29DDDB" w:rsidR="00570F59" w:rsidRPr="00570F59" w:rsidRDefault="0003473D" w:rsidP="0003473D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 xml:space="preserve"> </w:t>
            </w:r>
            <w:r w:rsidR="00570F59" w:rsidRPr="00570F59"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9237B2" w14:textId="77777777" w:rsidR="00570F59" w:rsidRPr="00570F59" w:rsidRDefault="00570F59" w:rsidP="00570F59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</w:tr>
      <w:tr w:rsidR="00570F59" w:rsidRPr="00570F59" w14:paraId="47993302" w14:textId="77777777" w:rsidTr="0003473D">
        <w:tc>
          <w:tcPr>
            <w:tcW w:w="2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889ADF" w14:textId="68EF3DBD" w:rsidR="00570F59" w:rsidRPr="0003473D" w:rsidRDefault="00406B99" w:rsidP="23595360">
            <w:pPr>
              <w:ind w:left="90" w:right="135"/>
              <w:textAlignment w:val="baseline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03473D">
              <w:rPr>
                <w:rFonts w:cs="Arial"/>
                <w:sz w:val="22"/>
                <w:szCs w:val="22"/>
                <w:lang w:eastAsia="en-GB"/>
              </w:rPr>
              <w:t xml:space="preserve">Insufficient work is </w:t>
            </w:r>
            <w:r w:rsidR="61EF5357" w:rsidRPr="0003473D">
              <w:rPr>
                <w:rFonts w:cs="Arial"/>
                <w:sz w:val="22"/>
                <w:szCs w:val="22"/>
                <w:lang w:eastAsia="en-GB"/>
              </w:rPr>
              <w:t xml:space="preserve">  </w:t>
            </w:r>
            <w:r w:rsidRPr="0003473D">
              <w:rPr>
                <w:rFonts w:cs="Arial"/>
                <w:sz w:val="22"/>
                <w:szCs w:val="22"/>
                <w:lang w:eastAsia="en-GB"/>
              </w:rPr>
              <w:t>undertaken during the year to enable an overall audit opinion to be produced by the Head of Internal Audit</w:t>
            </w:r>
          </w:p>
        </w:tc>
        <w:tc>
          <w:tcPr>
            <w:tcW w:w="51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027143" w14:textId="46148E9B" w:rsidR="00570F59" w:rsidRPr="0003473D" w:rsidRDefault="00276DF3" w:rsidP="23595360">
            <w:pPr>
              <w:pStyle w:val="ListParagraph"/>
              <w:numPr>
                <w:ilvl w:val="0"/>
                <w:numId w:val="18"/>
              </w:numPr>
              <w:ind w:hanging="270"/>
              <w:textAlignment w:val="baseline"/>
            </w:pPr>
            <w:r>
              <w:t>A</w:t>
            </w:r>
            <w:r w:rsidR="00406B99" w:rsidRPr="0003473D">
              <w:t>nnual plan to guide the work of the team</w:t>
            </w:r>
            <w:r w:rsidR="002168D5" w:rsidRPr="0003473D">
              <w:t>s</w:t>
            </w:r>
          </w:p>
          <w:p w14:paraId="01AE3E93" w14:textId="6F9C6744" w:rsidR="00406B99" w:rsidRPr="0003473D" w:rsidRDefault="00406B99" w:rsidP="23595360">
            <w:pPr>
              <w:pStyle w:val="ListParagraph"/>
              <w:numPr>
                <w:ilvl w:val="0"/>
                <w:numId w:val="18"/>
              </w:numPr>
              <w:ind w:hanging="270"/>
              <w:textAlignment w:val="baseline"/>
            </w:pPr>
            <w:r w:rsidRPr="0003473D">
              <w:t xml:space="preserve">Performance management of the </w:t>
            </w:r>
            <w:r w:rsidR="63610B82" w:rsidRPr="0003473D">
              <w:t>team</w:t>
            </w:r>
            <w:r w:rsidR="384F5051" w:rsidRPr="0003473D">
              <w:t>s</w:t>
            </w:r>
          </w:p>
          <w:p w14:paraId="06705054" w14:textId="48A15E28" w:rsidR="00406B99" w:rsidRPr="0003473D" w:rsidRDefault="00406B99" w:rsidP="23595360">
            <w:pPr>
              <w:pStyle w:val="ListParagraph"/>
              <w:numPr>
                <w:ilvl w:val="0"/>
                <w:numId w:val="18"/>
              </w:numPr>
              <w:ind w:hanging="270"/>
              <w:textAlignment w:val="baseline"/>
            </w:pPr>
            <w:r w:rsidRPr="0003473D">
              <w:t>Performance management report</w:t>
            </w:r>
            <w:r w:rsidR="00276DF3">
              <w:t>ed</w:t>
            </w:r>
            <w:r w:rsidRPr="0003473D">
              <w:t xml:space="preserve"> to GARMS</w:t>
            </w:r>
          </w:p>
          <w:p w14:paraId="46304DBD" w14:textId="39BB2754" w:rsidR="00C616FA" w:rsidRPr="0003473D" w:rsidRDefault="002168D5" w:rsidP="26F9B9B5">
            <w:pPr>
              <w:pStyle w:val="ListParagraph"/>
              <w:numPr>
                <w:ilvl w:val="0"/>
                <w:numId w:val="18"/>
              </w:numPr>
              <w:ind w:hanging="270"/>
              <w:textAlignment w:val="baseline"/>
            </w:pPr>
            <w:r w:rsidRPr="0003473D">
              <w:t>A</w:t>
            </w:r>
            <w:r w:rsidR="00406B99" w:rsidRPr="0003473D">
              <w:t xml:space="preserve">dequately resourced IA </w:t>
            </w:r>
            <w:r w:rsidRPr="0003473D">
              <w:t xml:space="preserve">and CAFT </w:t>
            </w:r>
            <w:r w:rsidR="00406B99" w:rsidRPr="0003473D">
              <w:t>team</w:t>
            </w:r>
            <w:r w:rsidRPr="0003473D">
              <w:t>s</w:t>
            </w:r>
            <w:r w:rsidR="00406B99" w:rsidRPr="0003473D">
              <w:t xml:space="preserve"> and/or appropriate working methods to ensure adequate coverage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27A6DDD6" w14:textId="31FDA45B" w:rsidR="00570F59" w:rsidRPr="006A250B" w:rsidRDefault="00570F59" w:rsidP="006A250B"/>
        </w:tc>
      </w:tr>
      <w:bookmarkEnd w:id="6"/>
    </w:tbl>
    <w:p w14:paraId="6E4DADC2" w14:textId="7F423AD1" w:rsidR="26F9B9B5" w:rsidRDefault="26F9B9B5" w:rsidP="26F9B9B5">
      <w:pPr>
        <w:pStyle w:val="Heading2"/>
        <w:keepNext/>
        <w:spacing w:before="0"/>
        <w:rPr>
          <w:sz w:val="16"/>
          <w:szCs w:val="16"/>
        </w:rPr>
      </w:pPr>
    </w:p>
    <w:p w14:paraId="44D33D1F" w14:textId="7A9B7C6A" w:rsidR="00FD31A0" w:rsidRDefault="00FD31A0" w:rsidP="00647C36">
      <w:pPr>
        <w:pStyle w:val="Heading2"/>
        <w:keepNext/>
        <w:spacing w:before="0"/>
      </w:pPr>
      <w:r w:rsidRPr="004A2543">
        <w:t>Equalities implications</w:t>
      </w:r>
      <w:r w:rsidR="00213BE7">
        <w:t xml:space="preserve">/Public Sector Equality Duty </w:t>
      </w:r>
    </w:p>
    <w:p w14:paraId="4A2705DD" w14:textId="77777777" w:rsidR="0003473D" w:rsidRPr="0003473D" w:rsidRDefault="0003473D" w:rsidP="00406B99">
      <w:pPr>
        <w:rPr>
          <w:sz w:val="16"/>
          <w:szCs w:val="16"/>
        </w:rPr>
      </w:pPr>
    </w:p>
    <w:p w14:paraId="33C9D90A" w14:textId="658F6BCA" w:rsidR="00406B99" w:rsidRDefault="00CD5F62" w:rsidP="00406B99">
      <w:r>
        <w:t>Not Applicable</w:t>
      </w:r>
    </w:p>
    <w:p w14:paraId="0E787670" w14:textId="77777777" w:rsidR="00802FA4" w:rsidRPr="00406B99" w:rsidRDefault="00802FA4" w:rsidP="00406B99">
      <w:pPr>
        <w:rPr>
          <w:sz w:val="16"/>
          <w:szCs w:val="16"/>
        </w:rPr>
      </w:pPr>
    </w:p>
    <w:p w14:paraId="1FD08D7B" w14:textId="2D175798" w:rsidR="001C1DAF" w:rsidRPr="00C616FA" w:rsidRDefault="00AC0AAB" w:rsidP="00C616FA">
      <w:pPr>
        <w:pStyle w:val="Heading2"/>
        <w:spacing w:before="0" w:after="240"/>
      </w:pPr>
      <w:r>
        <w:t xml:space="preserve">Council </w:t>
      </w:r>
      <w:r w:rsidR="004B4A47" w:rsidRPr="00CD57D8">
        <w:t>Priorities</w:t>
      </w:r>
    </w:p>
    <w:p w14:paraId="1ED06640" w14:textId="77777777" w:rsidR="001C1DAF" w:rsidRPr="005E69F1" w:rsidRDefault="001C1DAF" w:rsidP="001C1DAF">
      <w:pPr>
        <w:numPr>
          <w:ilvl w:val="0"/>
          <w:numId w:val="20"/>
        </w:numPr>
        <w:rPr>
          <w:rFonts w:eastAsia="Calibri" w:cs="Arial"/>
          <w:b/>
          <w:bCs/>
          <w:color w:val="000000"/>
          <w:szCs w:val="22"/>
        </w:rPr>
      </w:pP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A </w:t>
      </w:r>
      <w:r>
        <w:rPr>
          <w:rFonts w:eastAsia="Calibri" w:cs="Arial"/>
          <w:b/>
          <w:bCs/>
          <w:color w:val="000000"/>
          <w:szCs w:val="22"/>
          <w:lang w:eastAsia="en-GB"/>
        </w:rPr>
        <w:t>C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ouncil </w:t>
      </w:r>
      <w:r>
        <w:rPr>
          <w:rFonts w:eastAsia="Calibri" w:cs="Arial"/>
          <w:b/>
          <w:bCs/>
          <w:color w:val="000000"/>
          <w:szCs w:val="22"/>
          <w:lang w:eastAsia="en-GB"/>
        </w:rPr>
        <w:t>T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hat </w:t>
      </w:r>
      <w:r>
        <w:rPr>
          <w:rFonts w:eastAsia="Calibri" w:cs="Arial"/>
          <w:b/>
          <w:bCs/>
          <w:color w:val="000000"/>
          <w:szCs w:val="22"/>
          <w:lang w:eastAsia="en-GB"/>
        </w:rPr>
        <w:t>P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uts </w:t>
      </w:r>
      <w:r>
        <w:rPr>
          <w:rFonts w:eastAsia="Calibri" w:cs="Arial"/>
          <w:b/>
          <w:bCs/>
          <w:color w:val="000000"/>
          <w:szCs w:val="22"/>
          <w:lang w:eastAsia="en-GB"/>
        </w:rPr>
        <w:t>R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esidents </w:t>
      </w:r>
      <w:r>
        <w:rPr>
          <w:rFonts w:eastAsia="Calibri" w:cs="Arial"/>
          <w:b/>
          <w:bCs/>
          <w:color w:val="000000"/>
          <w:szCs w:val="22"/>
          <w:lang w:eastAsia="en-GB"/>
        </w:rPr>
        <w:t>F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>irst</w:t>
      </w:r>
    </w:p>
    <w:p w14:paraId="3BEF726D" w14:textId="77777777" w:rsidR="001C1DAF" w:rsidRPr="005E69F1" w:rsidRDefault="001C1DAF" w:rsidP="001C1DAF">
      <w:pPr>
        <w:numPr>
          <w:ilvl w:val="0"/>
          <w:numId w:val="20"/>
        </w:numPr>
        <w:rPr>
          <w:rFonts w:eastAsia="Calibri" w:cs="Arial"/>
          <w:b/>
          <w:bCs/>
          <w:color w:val="000000"/>
          <w:szCs w:val="22"/>
          <w:lang w:eastAsia="en-GB"/>
        </w:rPr>
      </w:pP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A </w:t>
      </w:r>
      <w:r>
        <w:rPr>
          <w:rFonts w:eastAsia="Calibri" w:cs="Arial"/>
          <w:b/>
          <w:bCs/>
          <w:color w:val="000000"/>
          <w:szCs w:val="22"/>
          <w:lang w:eastAsia="en-GB"/>
        </w:rPr>
        <w:t>B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orough </w:t>
      </w:r>
      <w:r>
        <w:rPr>
          <w:rFonts w:eastAsia="Calibri" w:cs="Arial"/>
          <w:b/>
          <w:bCs/>
          <w:color w:val="000000"/>
          <w:szCs w:val="22"/>
          <w:lang w:eastAsia="en-GB"/>
        </w:rPr>
        <w:t>T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hat </w:t>
      </w:r>
      <w:r>
        <w:rPr>
          <w:rFonts w:eastAsia="Calibri" w:cs="Arial"/>
          <w:b/>
          <w:bCs/>
          <w:color w:val="000000"/>
          <w:szCs w:val="22"/>
          <w:lang w:eastAsia="en-GB"/>
        </w:rPr>
        <w:t>I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s </w:t>
      </w:r>
      <w:r>
        <w:rPr>
          <w:rFonts w:eastAsia="Calibri" w:cs="Arial"/>
          <w:b/>
          <w:bCs/>
          <w:color w:val="000000"/>
          <w:szCs w:val="22"/>
          <w:lang w:eastAsia="en-GB"/>
        </w:rPr>
        <w:t>C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lean and </w:t>
      </w:r>
      <w:r>
        <w:rPr>
          <w:rFonts w:eastAsia="Calibri" w:cs="Arial"/>
          <w:b/>
          <w:bCs/>
          <w:color w:val="000000"/>
          <w:szCs w:val="22"/>
          <w:lang w:eastAsia="en-GB"/>
        </w:rPr>
        <w:t>S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>afe</w:t>
      </w:r>
    </w:p>
    <w:p w14:paraId="6C059CE2" w14:textId="77777777" w:rsidR="001C1DAF" w:rsidRPr="005E69F1" w:rsidRDefault="001C1DAF" w:rsidP="001C1DAF">
      <w:pPr>
        <w:numPr>
          <w:ilvl w:val="0"/>
          <w:numId w:val="20"/>
        </w:numPr>
        <w:rPr>
          <w:rFonts w:eastAsia="Calibri" w:cs="Arial"/>
          <w:b/>
          <w:bCs/>
          <w:color w:val="000000"/>
          <w:szCs w:val="22"/>
          <w:lang w:eastAsia="en-GB"/>
        </w:rPr>
      </w:pP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A </w:t>
      </w:r>
      <w:r>
        <w:rPr>
          <w:rFonts w:eastAsia="Calibri" w:cs="Arial"/>
          <w:b/>
          <w:bCs/>
          <w:color w:val="000000"/>
          <w:szCs w:val="22"/>
          <w:lang w:eastAsia="en-GB"/>
        </w:rPr>
        <w:t>P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lace </w:t>
      </w:r>
      <w:r>
        <w:rPr>
          <w:rFonts w:eastAsia="Calibri" w:cs="Arial"/>
          <w:b/>
          <w:bCs/>
          <w:color w:val="000000"/>
          <w:szCs w:val="22"/>
          <w:lang w:eastAsia="en-GB"/>
        </w:rPr>
        <w:t>W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here </w:t>
      </w:r>
      <w:r>
        <w:rPr>
          <w:rFonts w:eastAsia="Calibri" w:cs="Arial"/>
          <w:b/>
          <w:bCs/>
          <w:color w:val="000000"/>
          <w:szCs w:val="22"/>
          <w:lang w:eastAsia="en-GB"/>
        </w:rPr>
        <w:t>T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hose </w:t>
      </w:r>
      <w:r>
        <w:rPr>
          <w:rFonts w:eastAsia="Calibri" w:cs="Arial"/>
          <w:b/>
          <w:bCs/>
          <w:color w:val="000000"/>
          <w:szCs w:val="22"/>
          <w:lang w:eastAsia="en-GB"/>
        </w:rPr>
        <w:t>I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n </w:t>
      </w:r>
      <w:r>
        <w:rPr>
          <w:rFonts w:eastAsia="Calibri" w:cs="Arial"/>
          <w:b/>
          <w:bCs/>
          <w:color w:val="000000"/>
          <w:szCs w:val="22"/>
          <w:lang w:eastAsia="en-GB"/>
        </w:rPr>
        <w:t>N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eed </w:t>
      </w:r>
      <w:r>
        <w:rPr>
          <w:rFonts w:eastAsia="Calibri" w:cs="Arial"/>
          <w:b/>
          <w:bCs/>
          <w:color w:val="000000"/>
          <w:szCs w:val="22"/>
          <w:lang w:eastAsia="en-GB"/>
        </w:rPr>
        <w:t>A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 xml:space="preserve">re </w:t>
      </w:r>
      <w:r>
        <w:rPr>
          <w:rFonts w:eastAsia="Calibri" w:cs="Arial"/>
          <w:b/>
          <w:bCs/>
          <w:color w:val="000000"/>
          <w:szCs w:val="22"/>
          <w:lang w:eastAsia="en-GB"/>
        </w:rPr>
        <w:t>S</w:t>
      </w:r>
      <w:r w:rsidRPr="005E69F1">
        <w:rPr>
          <w:rFonts w:eastAsia="Calibri" w:cs="Arial"/>
          <w:b/>
          <w:bCs/>
          <w:color w:val="000000"/>
          <w:szCs w:val="22"/>
          <w:lang w:eastAsia="en-GB"/>
        </w:rPr>
        <w:t>upported</w:t>
      </w:r>
    </w:p>
    <w:p w14:paraId="2D125708" w14:textId="77777777" w:rsidR="00406B99" w:rsidRPr="00406B99" w:rsidRDefault="00406B99" w:rsidP="00802FA4">
      <w:pPr>
        <w:pStyle w:val="ListParagraph"/>
        <w:jc w:val="both"/>
        <w:rPr>
          <w:rFonts w:ascii="Arial Bold" w:hAnsi="Arial Bold"/>
          <w:b/>
          <w:sz w:val="24"/>
        </w:rPr>
      </w:pPr>
    </w:p>
    <w:p w14:paraId="5AC680FA" w14:textId="7362B6D5" w:rsidR="00406B99" w:rsidRDefault="00406B99" w:rsidP="00802FA4">
      <w:pPr>
        <w:autoSpaceDE w:val="0"/>
        <w:autoSpaceDN w:val="0"/>
        <w:contextualSpacing/>
        <w:jc w:val="both"/>
        <w:rPr>
          <w:rFonts w:cs="Arial"/>
          <w:bCs/>
          <w:lang w:val="en-US"/>
        </w:rPr>
      </w:pPr>
      <w:r w:rsidRPr="00406B99">
        <w:rPr>
          <w:rFonts w:cs="Arial"/>
          <w:bCs/>
          <w:lang w:val="en-US"/>
        </w:rPr>
        <w:t xml:space="preserve">The work of the Internal Audit </w:t>
      </w:r>
      <w:r w:rsidR="00C365E8">
        <w:rPr>
          <w:rFonts w:cs="Arial"/>
          <w:bCs/>
          <w:lang w:val="en-US"/>
        </w:rPr>
        <w:t xml:space="preserve">and Corporate </w:t>
      </w:r>
      <w:bookmarkStart w:id="8" w:name="_Int_82ktlmW2"/>
      <w:proofErr w:type="spellStart"/>
      <w:r w:rsidR="00C365E8">
        <w:rPr>
          <w:rFonts w:cs="Arial"/>
          <w:bCs/>
          <w:lang w:val="en-US"/>
        </w:rPr>
        <w:t>Anti Fraud</w:t>
      </w:r>
      <w:bookmarkEnd w:id="8"/>
      <w:proofErr w:type="spellEnd"/>
      <w:r w:rsidR="00C365E8">
        <w:rPr>
          <w:rFonts w:cs="Arial"/>
          <w:bCs/>
          <w:lang w:val="en-US"/>
        </w:rPr>
        <w:t xml:space="preserve"> </w:t>
      </w:r>
      <w:r w:rsidRPr="00406B99">
        <w:rPr>
          <w:rFonts w:cs="Arial"/>
          <w:bCs/>
          <w:lang w:val="en-US"/>
        </w:rPr>
        <w:t>service</w:t>
      </w:r>
      <w:r w:rsidR="00C365E8">
        <w:rPr>
          <w:rFonts w:cs="Arial"/>
          <w:bCs/>
          <w:lang w:val="en-US"/>
        </w:rPr>
        <w:t>s</w:t>
      </w:r>
      <w:r w:rsidRPr="00406B99">
        <w:rPr>
          <w:rFonts w:cs="Arial"/>
          <w:bCs/>
          <w:lang w:val="en-US"/>
        </w:rPr>
        <w:t xml:space="preserve"> supports the delivery of the Council’s priorities by providing assurance on the effectiveness of risk management, control and governance processes, making recommendations to improve these processes</w:t>
      </w:r>
      <w:r w:rsidR="006C5925">
        <w:rPr>
          <w:rFonts w:cs="Arial"/>
          <w:bCs/>
          <w:lang w:val="en-US"/>
        </w:rPr>
        <w:t xml:space="preserve"> and</w:t>
      </w:r>
      <w:r w:rsidRPr="00406B99">
        <w:rPr>
          <w:rFonts w:cs="Arial"/>
          <w:bCs/>
          <w:lang w:val="en-US"/>
        </w:rPr>
        <w:t xml:space="preserve"> </w:t>
      </w:r>
      <w:r w:rsidR="004E673D">
        <w:rPr>
          <w:rFonts w:cs="Arial"/>
          <w:bCs/>
          <w:lang w:val="en-US"/>
        </w:rPr>
        <w:t xml:space="preserve">investigating allegations of fraud and irregularity, </w:t>
      </w:r>
      <w:r w:rsidRPr="00406B99">
        <w:rPr>
          <w:rFonts w:cs="Arial"/>
          <w:bCs/>
          <w:lang w:val="en-US"/>
        </w:rPr>
        <w:t>increasing the likelihood of the achievement of the priorities</w:t>
      </w:r>
      <w:r w:rsidR="00DF07A7">
        <w:rPr>
          <w:rFonts w:cs="Arial"/>
          <w:bCs/>
          <w:lang w:val="en-US"/>
        </w:rPr>
        <w:t>.</w:t>
      </w:r>
    </w:p>
    <w:p w14:paraId="2D8470AB" w14:textId="77777777" w:rsidR="00802FA4" w:rsidRDefault="00802FA4" w:rsidP="00802FA4">
      <w:pPr>
        <w:autoSpaceDE w:val="0"/>
        <w:autoSpaceDN w:val="0"/>
        <w:contextualSpacing/>
        <w:jc w:val="both"/>
        <w:rPr>
          <w:rFonts w:cs="Arial"/>
          <w:sz w:val="16"/>
          <w:szCs w:val="16"/>
          <w:lang w:val="en-US"/>
        </w:rPr>
      </w:pPr>
    </w:p>
    <w:p w14:paraId="11BF41CC" w14:textId="5B7464AA" w:rsidR="002A2389" w:rsidRDefault="002A2389" w:rsidP="00802FA4">
      <w:pPr>
        <w:pStyle w:val="Heading2"/>
        <w:spacing w:before="0"/>
      </w:pPr>
      <w:r>
        <w:t>Section 3 - Statutory Officer Clearance</w:t>
      </w:r>
    </w:p>
    <w:p w14:paraId="34275C53" w14:textId="20CA47F1" w:rsidR="00912904" w:rsidRPr="00DF07A7" w:rsidRDefault="00DF07A7" w:rsidP="00DF07A7">
      <w:pPr>
        <w:keepNext/>
        <w:rPr>
          <w:rFonts w:cs="Arial"/>
        </w:rPr>
      </w:pPr>
      <w:r w:rsidRPr="095C8546">
        <w:rPr>
          <w:rFonts w:cs="Arial"/>
        </w:rPr>
        <w:t xml:space="preserve">As this is </w:t>
      </w:r>
      <w:bookmarkStart w:id="9" w:name="_Int_jXq3Oe5Y"/>
      <w:r w:rsidRPr="095C8546">
        <w:rPr>
          <w:rFonts w:cs="Arial"/>
        </w:rPr>
        <w:t>an information report</w:t>
      </w:r>
      <w:r w:rsidR="00895C54" w:rsidRPr="095C8546">
        <w:rPr>
          <w:rFonts w:cs="Arial"/>
        </w:rPr>
        <w:t xml:space="preserve"> L</w:t>
      </w:r>
      <w:r w:rsidR="000A58A1" w:rsidRPr="095C8546">
        <w:rPr>
          <w:rFonts w:cs="Arial"/>
        </w:rPr>
        <w:t xml:space="preserve">egal / </w:t>
      </w:r>
      <w:r w:rsidR="00895C54" w:rsidRPr="095C8546">
        <w:rPr>
          <w:rFonts w:cs="Arial"/>
        </w:rPr>
        <w:t>F</w:t>
      </w:r>
      <w:r w:rsidR="000A58A1" w:rsidRPr="095C8546">
        <w:rPr>
          <w:rFonts w:cs="Arial"/>
        </w:rPr>
        <w:t>inanc</w:t>
      </w:r>
      <w:r w:rsidRPr="095C8546">
        <w:rPr>
          <w:rFonts w:cs="Arial"/>
        </w:rPr>
        <w:t>e</w:t>
      </w:r>
      <w:r w:rsidR="000A58A1" w:rsidRPr="095C8546">
        <w:rPr>
          <w:rFonts w:cs="Arial"/>
        </w:rPr>
        <w:t xml:space="preserve"> / Corporate Director clearances</w:t>
      </w:r>
      <w:bookmarkEnd w:id="9"/>
      <w:r w:rsidR="000A58A1" w:rsidRPr="095C8546">
        <w:rPr>
          <w:rFonts w:cs="Arial"/>
        </w:rPr>
        <w:t xml:space="preserve"> are </w:t>
      </w:r>
      <w:r w:rsidRPr="095C8546">
        <w:rPr>
          <w:rFonts w:cs="Arial"/>
        </w:rPr>
        <w:t xml:space="preserve">not </w:t>
      </w:r>
      <w:r w:rsidR="000A58A1" w:rsidRPr="095C8546">
        <w:rPr>
          <w:rFonts w:cs="Arial"/>
        </w:rPr>
        <w:t>necessary.</w:t>
      </w:r>
    </w:p>
    <w:p w14:paraId="3E5D99A7" w14:textId="37BDA6B7" w:rsidR="095C8546" w:rsidRDefault="095C8546" w:rsidP="095C8546">
      <w:pPr>
        <w:keepNext/>
        <w:rPr>
          <w:rFonts w:cs="Arial"/>
          <w:sz w:val="16"/>
          <w:szCs w:val="16"/>
        </w:rPr>
      </w:pPr>
    </w:p>
    <w:p w14:paraId="686CE5D8" w14:textId="7073926F" w:rsidR="00912904" w:rsidRPr="00435B5D" w:rsidRDefault="00DF07A7" w:rsidP="095C8546">
      <w:pPr>
        <w:pStyle w:val="Heading2"/>
        <w:spacing w:before="0" w:after="120"/>
      </w:pPr>
      <w:r>
        <w:t>M</w:t>
      </w:r>
      <w:r w:rsidR="00912904">
        <w:t>andatory Checks</w:t>
      </w:r>
    </w:p>
    <w:p w14:paraId="5202447D" w14:textId="7A2C98EB" w:rsidR="00017F0E" w:rsidRPr="00017F0E" w:rsidRDefault="00912904" w:rsidP="095C8546">
      <w:pPr>
        <w:pStyle w:val="Heading3"/>
        <w:ind w:left="0" w:firstLine="0"/>
        <w:rPr>
          <w:b w:val="0"/>
        </w:rPr>
      </w:pPr>
      <w:r>
        <w:rPr>
          <w:b w:val="0"/>
        </w:rPr>
        <w:t>Ward Councillors notified:  N</w:t>
      </w:r>
      <w:r w:rsidR="00BD352D">
        <w:rPr>
          <w:b w:val="0"/>
        </w:rPr>
        <w:t>o</w:t>
      </w:r>
      <w:r>
        <w:rPr>
          <w:b w:val="0"/>
        </w:rPr>
        <w:t xml:space="preserve">, as it impacts on all Wards </w:t>
      </w:r>
    </w:p>
    <w:p w14:paraId="0DBED8EC" w14:textId="58F9FFB8" w:rsidR="095C8546" w:rsidRDefault="095C8546" w:rsidP="095C8546">
      <w:pPr>
        <w:rPr>
          <w:sz w:val="16"/>
          <w:szCs w:val="16"/>
        </w:rPr>
      </w:pPr>
    </w:p>
    <w:p w14:paraId="629F8205" w14:textId="3C09E73F" w:rsidR="002A2389" w:rsidRDefault="002A2389" w:rsidP="095C8546">
      <w:pPr>
        <w:pStyle w:val="Heading2"/>
        <w:keepNext/>
        <w:spacing w:before="0" w:after="120"/>
        <w:ind w:right="-1"/>
      </w:pPr>
      <w:r>
        <w:t>Section 4 - Contact Details and Background</w:t>
      </w:r>
      <w:r w:rsidR="0003473D">
        <w:t xml:space="preserve"> </w:t>
      </w:r>
      <w:r>
        <w:t>Papers</w:t>
      </w:r>
    </w:p>
    <w:p w14:paraId="1C4BF2D4" w14:textId="3A4AD427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B070B5" w:rsidRPr="00194441">
        <w:rPr>
          <w:sz w:val="24"/>
          <w:szCs w:val="24"/>
        </w:rPr>
        <w:t>Tracy Barnett</w:t>
      </w:r>
      <w:r w:rsidR="00DF07A7" w:rsidRPr="00194441">
        <w:rPr>
          <w:sz w:val="24"/>
          <w:szCs w:val="24"/>
        </w:rPr>
        <w:t xml:space="preserve">, </w:t>
      </w:r>
      <w:r w:rsidR="00B070B5" w:rsidRPr="00194441">
        <w:rPr>
          <w:sz w:val="24"/>
          <w:szCs w:val="24"/>
        </w:rPr>
        <w:t>Interim</w:t>
      </w:r>
      <w:r w:rsidR="00DF07A7" w:rsidRPr="00194441">
        <w:rPr>
          <w:sz w:val="24"/>
          <w:szCs w:val="24"/>
        </w:rPr>
        <w:t xml:space="preserve"> Head of Internal Audit &amp; Corporate Anti-Fraud</w:t>
      </w:r>
    </w:p>
    <w:p w14:paraId="28AF6FE8" w14:textId="048588C5" w:rsidR="002A2389" w:rsidRDefault="002A2389" w:rsidP="095C8546">
      <w:pPr>
        <w:pStyle w:val="Infotext"/>
        <w:spacing w:before="120"/>
        <w:rPr>
          <w:sz w:val="24"/>
          <w:szCs w:val="24"/>
        </w:rPr>
      </w:pPr>
      <w:r>
        <w:t xml:space="preserve">Background Papers:  </w:t>
      </w:r>
      <w:r w:rsidR="00DF07A7" w:rsidRPr="00194441">
        <w:rPr>
          <w:sz w:val="24"/>
          <w:szCs w:val="24"/>
        </w:rPr>
        <w:t>None</w:t>
      </w:r>
    </w:p>
    <w:p w14:paraId="31C1AD41" w14:textId="582CE5EE" w:rsidR="26F9B9B5" w:rsidRDefault="26F9B9B5" w:rsidP="26F9B9B5">
      <w:pPr>
        <w:pStyle w:val="Infotext"/>
        <w:keepNext/>
        <w:rPr>
          <w:sz w:val="24"/>
          <w:szCs w:val="24"/>
        </w:rPr>
      </w:pPr>
    </w:p>
    <w:p w14:paraId="6D64D64B" w14:textId="77777777" w:rsidR="002A2389" w:rsidRPr="00194441" w:rsidRDefault="002A2389" w:rsidP="26F9B9B5">
      <w:pPr>
        <w:pStyle w:val="Infotext"/>
        <w:keepNext/>
        <w:rPr>
          <w:sz w:val="24"/>
          <w:szCs w:val="24"/>
        </w:rPr>
      </w:pPr>
      <w:r w:rsidRPr="00194441">
        <w:rPr>
          <w:sz w:val="24"/>
          <w:szCs w:val="24"/>
        </w:rPr>
        <w:t xml:space="preserve">If appropriate, does the report include the following considerations? </w:t>
      </w:r>
    </w:p>
    <w:p w14:paraId="507DF23B" w14:textId="7CCBBAED" w:rsidR="00912904" w:rsidRPr="00194441" w:rsidRDefault="00912904" w:rsidP="26F9B9B5">
      <w:pPr>
        <w:pStyle w:val="Infotext"/>
        <w:keepNext/>
        <w:tabs>
          <w:tab w:val="left" w:pos="656"/>
        </w:tabs>
        <w:rPr>
          <w:sz w:val="24"/>
          <w:szCs w:val="24"/>
        </w:rPr>
      </w:pPr>
      <w:r w:rsidRPr="00194441">
        <w:rPr>
          <w:sz w:val="24"/>
          <w:szCs w:val="24"/>
        </w:rPr>
        <w:t>1.</w:t>
      </w:r>
      <w:r>
        <w:tab/>
      </w:r>
      <w:r w:rsidRPr="00194441">
        <w:rPr>
          <w:sz w:val="24"/>
          <w:szCs w:val="24"/>
        </w:rPr>
        <w:t>Consultation</w:t>
      </w:r>
      <w:r w:rsidR="0003601B">
        <w:rPr>
          <w:sz w:val="24"/>
          <w:szCs w:val="24"/>
        </w:rPr>
        <w:t>:</w:t>
      </w:r>
      <w:r w:rsidRPr="00194441">
        <w:rPr>
          <w:sz w:val="24"/>
          <w:szCs w:val="24"/>
        </w:rPr>
        <w:t xml:space="preserve"> </w:t>
      </w:r>
      <w:r w:rsidR="00647C36">
        <w:tab/>
      </w:r>
      <w:r w:rsidR="007B2E75">
        <w:tab/>
      </w:r>
      <w:r w:rsidRPr="00194441">
        <w:rPr>
          <w:sz w:val="24"/>
          <w:szCs w:val="24"/>
        </w:rPr>
        <w:t>N</w:t>
      </w:r>
      <w:r w:rsidR="0068590D" w:rsidRPr="00194441">
        <w:rPr>
          <w:sz w:val="24"/>
          <w:szCs w:val="24"/>
        </w:rPr>
        <w:t>o</w:t>
      </w:r>
    </w:p>
    <w:p w14:paraId="695B009D" w14:textId="2ECF0C7C" w:rsidR="002A2389" w:rsidRDefault="00912904" w:rsidP="26F9B9B5">
      <w:pPr>
        <w:pStyle w:val="Infotext"/>
        <w:keepNext/>
        <w:tabs>
          <w:tab w:val="left" w:pos="656"/>
        </w:tabs>
        <w:rPr>
          <w:sz w:val="24"/>
          <w:szCs w:val="24"/>
        </w:rPr>
      </w:pPr>
      <w:r w:rsidRPr="00194441">
        <w:rPr>
          <w:sz w:val="24"/>
          <w:szCs w:val="24"/>
        </w:rPr>
        <w:t>2.</w:t>
      </w:r>
      <w:r>
        <w:tab/>
      </w:r>
      <w:r w:rsidRPr="00194441">
        <w:rPr>
          <w:sz w:val="24"/>
          <w:szCs w:val="24"/>
        </w:rPr>
        <w:t>Priorities</w:t>
      </w:r>
      <w:r w:rsidR="0003601B">
        <w:rPr>
          <w:sz w:val="24"/>
          <w:szCs w:val="24"/>
        </w:rPr>
        <w:t>:</w:t>
      </w:r>
      <w:r w:rsidR="007B2E75">
        <w:tab/>
      </w:r>
      <w:r w:rsidR="007B2E75">
        <w:tab/>
      </w:r>
      <w:r w:rsidRPr="007B2E75">
        <w:rPr>
          <w:sz w:val="24"/>
          <w:szCs w:val="24"/>
        </w:rPr>
        <w:t>Y</w:t>
      </w:r>
      <w:r w:rsidR="0068590D" w:rsidRPr="007B2E75">
        <w:rPr>
          <w:sz w:val="24"/>
          <w:szCs w:val="24"/>
        </w:rPr>
        <w:t>es</w:t>
      </w:r>
    </w:p>
    <w:sectPr w:rsidR="002A2389" w:rsidSect="0003473D">
      <w:type w:val="continuous"/>
      <w:pgSz w:w="11909" w:h="16834" w:code="9"/>
      <w:pgMar w:top="1008" w:right="1419" w:bottom="1152" w:left="1418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0095" w14:textId="77777777" w:rsidR="00AA7BE3" w:rsidRDefault="00AA7BE3">
      <w:r>
        <w:separator/>
      </w:r>
    </w:p>
  </w:endnote>
  <w:endnote w:type="continuationSeparator" w:id="0">
    <w:p w14:paraId="0D6B0940" w14:textId="77777777" w:rsidR="00AA7BE3" w:rsidRDefault="00AA7BE3">
      <w:r>
        <w:continuationSeparator/>
      </w:r>
    </w:p>
  </w:endnote>
  <w:endnote w:type="continuationNotice" w:id="1">
    <w:p w14:paraId="060C6E55" w14:textId="77777777" w:rsidR="00AA7BE3" w:rsidRDefault="00AA7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0633" w14:textId="77777777" w:rsidR="00AA7BE3" w:rsidRDefault="00AA7BE3">
      <w:r>
        <w:separator/>
      </w:r>
    </w:p>
  </w:footnote>
  <w:footnote w:type="continuationSeparator" w:id="0">
    <w:p w14:paraId="1A1D397B" w14:textId="77777777" w:rsidR="00AA7BE3" w:rsidRDefault="00AA7BE3">
      <w:r>
        <w:continuationSeparator/>
      </w:r>
    </w:p>
  </w:footnote>
  <w:footnote w:type="continuationNotice" w:id="1">
    <w:p w14:paraId="2F1635D6" w14:textId="77777777" w:rsidR="00AA7BE3" w:rsidRDefault="00AA7BE3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2ktlmW2" int2:invalidationBookmarkName="" int2:hashCode="tCG/U2UqMsvfoS" int2:id="6gp7uymI">
      <int2:state int2:value="Rejected" int2:type="AugLoop_Text_Critique"/>
    </int2:bookmark>
    <int2:bookmark int2:bookmarkName="_Int_jXq3Oe5Y" int2:invalidationBookmarkName="" int2:hashCode="o0W6OnWK9TkqZJ" int2:id="8lJlvsVB">
      <int2:state int2:value="Rejected" int2:type="AugLoop_Text_Critique"/>
    </int2:bookmark>
    <int2:bookmark int2:bookmarkName="_Int_RGLqy1qH" int2:invalidationBookmarkName="" int2:hashCode="50em503pU8YaC+" int2:id="AcefcjtO">
      <int2:state int2:value="Rejected" int2:type="AugLoop_Text_Critique"/>
    </int2:bookmark>
    <int2:bookmark int2:bookmarkName="_Int_jcfcWYY3" int2:invalidationBookmarkName="" int2:hashCode="tCG/U2UqMsvfoS" int2:id="KkrBM0Tx">
      <int2:state int2:value="Rejected" int2:type="AugLoop_Text_Critique"/>
    </int2:bookmark>
    <int2:bookmark int2:bookmarkName="_Int_vNYyKAKq" int2:invalidationBookmarkName="" int2:hashCode="EXMA5yZARjyiRS" int2:id="RgOH0axi">
      <int2:state int2:value="Rejected" int2:type="AugLoop_Text_Critique"/>
    </int2:bookmark>
    <int2:bookmark int2:bookmarkName="_Int_74E5x7xm" int2:invalidationBookmarkName="" int2:hashCode="yIxiwsoLtgKuGw" int2:id="RtJfLiKE">
      <int2:state int2:value="Rejected" int2:type="AugLoop_Text_Critique"/>
    </int2:bookmark>
    <int2:bookmark int2:bookmarkName="_Int_d6SaauV9" int2:invalidationBookmarkName="" int2:hashCode="J+kN+lfDWKz69H" int2:id="XWRoAmmS">
      <int2:state int2:value="Rejected" int2:type="AugLoop_Text_Critique"/>
    </int2:bookmark>
    <int2:bookmark int2:bookmarkName="_Int_TIiFK51S" int2:invalidationBookmarkName="" int2:hashCode="tCG/U2UqMsvfoS" int2:id="p9x1TLS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1B5"/>
    <w:multiLevelType w:val="multilevel"/>
    <w:tmpl w:val="DE7E0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406B"/>
    <w:multiLevelType w:val="hybridMultilevel"/>
    <w:tmpl w:val="CE9C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E1565"/>
    <w:multiLevelType w:val="hybridMultilevel"/>
    <w:tmpl w:val="44BC3588"/>
    <w:lvl w:ilvl="0" w:tplc="5E8C9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46355">
    <w:abstractNumId w:val="17"/>
  </w:num>
  <w:num w:numId="2" w16cid:durableId="750853309">
    <w:abstractNumId w:val="12"/>
  </w:num>
  <w:num w:numId="3" w16cid:durableId="2040230418">
    <w:abstractNumId w:val="16"/>
  </w:num>
  <w:num w:numId="4" w16cid:durableId="1138957727">
    <w:abstractNumId w:val="1"/>
  </w:num>
  <w:num w:numId="5" w16cid:durableId="4904864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561528">
    <w:abstractNumId w:val="7"/>
  </w:num>
  <w:num w:numId="7" w16cid:durableId="1495952612">
    <w:abstractNumId w:val="8"/>
  </w:num>
  <w:num w:numId="8" w16cid:durableId="1329408838">
    <w:abstractNumId w:val="5"/>
  </w:num>
  <w:num w:numId="9" w16cid:durableId="1911647669">
    <w:abstractNumId w:val="4"/>
  </w:num>
  <w:num w:numId="10" w16cid:durableId="1732922028">
    <w:abstractNumId w:val="15"/>
  </w:num>
  <w:num w:numId="11" w16cid:durableId="683555338">
    <w:abstractNumId w:val="20"/>
  </w:num>
  <w:num w:numId="12" w16cid:durableId="1204562212">
    <w:abstractNumId w:val="14"/>
  </w:num>
  <w:num w:numId="13" w16cid:durableId="766660545">
    <w:abstractNumId w:val="3"/>
  </w:num>
  <w:num w:numId="14" w16cid:durableId="1712916589">
    <w:abstractNumId w:val="6"/>
  </w:num>
  <w:num w:numId="15" w16cid:durableId="988021798">
    <w:abstractNumId w:val="11"/>
  </w:num>
  <w:num w:numId="16" w16cid:durableId="1830825522">
    <w:abstractNumId w:val="9"/>
  </w:num>
  <w:num w:numId="17" w16cid:durableId="1731149466">
    <w:abstractNumId w:val="19"/>
  </w:num>
  <w:num w:numId="18" w16cid:durableId="1785687276">
    <w:abstractNumId w:val="13"/>
  </w:num>
  <w:num w:numId="19" w16cid:durableId="1739480511">
    <w:abstractNumId w:val="0"/>
  </w:num>
  <w:num w:numId="20" w16cid:durableId="1683974045">
    <w:abstractNumId w:val="10"/>
  </w:num>
  <w:num w:numId="21" w16cid:durableId="628822247">
    <w:abstractNumId w:val="18"/>
  </w:num>
  <w:num w:numId="22" w16cid:durableId="805195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1EAF"/>
    <w:rsid w:val="00013CBA"/>
    <w:rsid w:val="00017F0E"/>
    <w:rsid w:val="00023F4C"/>
    <w:rsid w:val="00025888"/>
    <w:rsid w:val="00030166"/>
    <w:rsid w:val="00030FFC"/>
    <w:rsid w:val="0003473D"/>
    <w:rsid w:val="0003601B"/>
    <w:rsid w:val="000517F0"/>
    <w:rsid w:val="00057F10"/>
    <w:rsid w:val="000633A2"/>
    <w:rsid w:val="00071EB4"/>
    <w:rsid w:val="000750DB"/>
    <w:rsid w:val="00077298"/>
    <w:rsid w:val="00082F56"/>
    <w:rsid w:val="000853AB"/>
    <w:rsid w:val="000A58A1"/>
    <w:rsid w:val="000A6659"/>
    <w:rsid w:val="000B0E6F"/>
    <w:rsid w:val="000B6DBB"/>
    <w:rsid w:val="000D01F9"/>
    <w:rsid w:val="000D2849"/>
    <w:rsid w:val="000D2BF2"/>
    <w:rsid w:val="000D5870"/>
    <w:rsid w:val="000E04D8"/>
    <w:rsid w:val="000E4CCE"/>
    <w:rsid w:val="000F0351"/>
    <w:rsid w:val="000F1EED"/>
    <w:rsid w:val="000F5138"/>
    <w:rsid w:val="000F5DDC"/>
    <w:rsid w:val="000F65C0"/>
    <w:rsid w:val="00104EC7"/>
    <w:rsid w:val="001437CB"/>
    <w:rsid w:val="00151F16"/>
    <w:rsid w:val="001939BA"/>
    <w:rsid w:val="00194441"/>
    <w:rsid w:val="001A6EB0"/>
    <w:rsid w:val="001A7247"/>
    <w:rsid w:val="001B175F"/>
    <w:rsid w:val="001B36AD"/>
    <w:rsid w:val="001B441D"/>
    <w:rsid w:val="001B5C84"/>
    <w:rsid w:val="001C1DAF"/>
    <w:rsid w:val="001C3FE6"/>
    <w:rsid w:val="001C5225"/>
    <w:rsid w:val="001E0219"/>
    <w:rsid w:val="001E65F0"/>
    <w:rsid w:val="001F60C2"/>
    <w:rsid w:val="00213BE7"/>
    <w:rsid w:val="002168D5"/>
    <w:rsid w:val="00231A1D"/>
    <w:rsid w:val="00232FAE"/>
    <w:rsid w:val="00244120"/>
    <w:rsid w:val="00252325"/>
    <w:rsid w:val="00267CAF"/>
    <w:rsid w:val="0027343A"/>
    <w:rsid w:val="002738FB"/>
    <w:rsid w:val="00276DF3"/>
    <w:rsid w:val="0028213A"/>
    <w:rsid w:val="00283C88"/>
    <w:rsid w:val="00293F9F"/>
    <w:rsid w:val="002958C8"/>
    <w:rsid w:val="002A05D8"/>
    <w:rsid w:val="002A2389"/>
    <w:rsid w:val="002A2DB4"/>
    <w:rsid w:val="002A4801"/>
    <w:rsid w:val="002C08E2"/>
    <w:rsid w:val="002C1794"/>
    <w:rsid w:val="002C509F"/>
    <w:rsid w:val="002D1DC0"/>
    <w:rsid w:val="002D2FC5"/>
    <w:rsid w:val="002D3CF6"/>
    <w:rsid w:val="002D50E5"/>
    <w:rsid w:val="002E2A21"/>
    <w:rsid w:val="002E6637"/>
    <w:rsid w:val="002E77E3"/>
    <w:rsid w:val="002F2E99"/>
    <w:rsid w:val="00320361"/>
    <w:rsid w:val="00324A68"/>
    <w:rsid w:val="00327C29"/>
    <w:rsid w:val="003321C0"/>
    <w:rsid w:val="00332947"/>
    <w:rsid w:val="00333EB4"/>
    <w:rsid w:val="00340163"/>
    <w:rsid w:val="00345915"/>
    <w:rsid w:val="00352B35"/>
    <w:rsid w:val="00363AAC"/>
    <w:rsid w:val="00365D29"/>
    <w:rsid w:val="00374F22"/>
    <w:rsid w:val="00393ABE"/>
    <w:rsid w:val="003B45F0"/>
    <w:rsid w:val="003D2FFE"/>
    <w:rsid w:val="003D3732"/>
    <w:rsid w:val="003D3773"/>
    <w:rsid w:val="003E1D74"/>
    <w:rsid w:val="003E6F99"/>
    <w:rsid w:val="003F246C"/>
    <w:rsid w:val="003F4A77"/>
    <w:rsid w:val="00400032"/>
    <w:rsid w:val="00401EF9"/>
    <w:rsid w:val="00406B99"/>
    <w:rsid w:val="0040BD05"/>
    <w:rsid w:val="0042394B"/>
    <w:rsid w:val="00424891"/>
    <w:rsid w:val="00434C53"/>
    <w:rsid w:val="0045449B"/>
    <w:rsid w:val="0045769C"/>
    <w:rsid w:val="004712C1"/>
    <w:rsid w:val="00473B08"/>
    <w:rsid w:val="00474B5F"/>
    <w:rsid w:val="004821D2"/>
    <w:rsid w:val="00482C25"/>
    <w:rsid w:val="004A05EE"/>
    <w:rsid w:val="004A1441"/>
    <w:rsid w:val="004A31E2"/>
    <w:rsid w:val="004A3CE6"/>
    <w:rsid w:val="004A4A1D"/>
    <w:rsid w:val="004B2C9D"/>
    <w:rsid w:val="004B4A47"/>
    <w:rsid w:val="004C0584"/>
    <w:rsid w:val="004E5A15"/>
    <w:rsid w:val="004E667D"/>
    <w:rsid w:val="004E673D"/>
    <w:rsid w:val="004E6AF9"/>
    <w:rsid w:val="004F0ACF"/>
    <w:rsid w:val="005031DF"/>
    <w:rsid w:val="005046D4"/>
    <w:rsid w:val="00526E82"/>
    <w:rsid w:val="005311F7"/>
    <w:rsid w:val="00535572"/>
    <w:rsid w:val="00565873"/>
    <w:rsid w:val="00570F59"/>
    <w:rsid w:val="00597314"/>
    <w:rsid w:val="005A61AF"/>
    <w:rsid w:val="005B0E6D"/>
    <w:rsid w:val="005D0886"/>
    <w:rsid w:val="005D1222"/>
    <w:rsid w:val="005D5D3C"/>
    <w:rsid w:val="005E18F2"/>
    <w:rsid w:val="005E384D"/>
    <w:rsid w:val="005E619B"/>
    <w:rsid w:val="005F2181"/>
    <w:rsid w:val="005F724B"/>
    <w:rsid w:val="006011FB"/>
    <w:rsid w:val="00622425"/>
    <w:rsid w:val="00624354"/>
    <w:rsid w:val="00625DFF"/>
    <w:rsid w:val="00627CA9"/>
    <w:rsid w:val="0063072B"/>
    <w:rsid w:val="006313CD"/>
    <w:rsid w:val="0063569D"/>
    <w:rsid w:val="00640DD2"/>
    <w:rsid w:val="00647C36"/>
    <w:rsid w:val="00647D42"/>
    <w:rsid w:val="0065150A"/>
    <w:rsid w:val="00662891"/>
    <w:rsid w:val="006628B7"/>
    <w:rsid w:val="006709A0"/>
    <w:rsid w:val="00675FCB"/>
    <w:rsid w:val="00676879"/>
    <w:rsid w:val="0068590D"/>
    <w:rsid w:val="006914BE"/>
    <w:rsid w:val="00692948"/>
    <w:rsid w:val="00694688"/>
    <w:rsid w:val="006A0B87"/>
    <w:rsid w:val="006A250B"/>
    <w:rsid w:val="006B3942"/>
    <w:rsid w:val="006B4A42"/>
    <w:rsid w:val="006B4ECA"/>
    <w:rsid w:val="006C3914"/>
    <w:rsid w:val="006C5925"/>
    <w:rsid w:val="006D2C24"/>
    <w:rsid w:val="006D3648"/>
    <w:rsid w:val="006D61D6"/>
    <w:rsid w:val="006D712A"/>
    <w:rsid w:val="006F717A"/>
    <w:rsid w:val="00703002"/>
    <w:rsid w:val="00712ADE"/>
    <w:rsid w:val="00723529"/>
    <w:rsid w:val="0074184E"/>
    <w:rsid w:val="00743829"/>
    <w:rsid w:val="00751DDA"/>
    <w:rsid w:val="00755E23"/>
    <w:rsid w:val="00755F8D"/>
    <w:rsid w:val="0076707B"/>
    <w:rsid w:val="00767AB8"/>
    <w:rsid w:val="007757A2"/>
    <w:rsid w:val="00796503"/>
    <w:rsid w:val="007A1F2F"/>
    <w:rsid w:val="007A3754"/>
    <w:rsid w:val="007B2E75"/>
    <w:rsid w:val="007C20F0"/>
    <w:rsid w:val="007C5D7C"/>
    <w:rsid w:val="007D2BDA"/>
    <w:rsid w:val="007D2CA9"/>
    <w:rsid w:val="007D56C8"/>
    <w:rsid w:val="007E3934"/>
    <w:rsid w:val="007E5BBA"/>
    <w:rsid w:val="007E7303"/>
    <w:rsid w:val="007F083E"/>
    <w:rsid w:val="00802FA4"/>
    <w:rsid w:val="008030F6"/>
    <w:rsid w:val="00810D2A"/>
    <w:rsid w:val="008212A0"/>
    <w:rsid w:val="00837F53"/>
    <w:rsid w:val="00846190"/>
    <w:rsid w:val="00861D03"/>
    <w:rsid w:val="008629E0"/>
    <w:rsid w:val="00871608"/>
    <w:rsid w:val="0088105A"/>
    <w:rsid w:val="008811A8"/>
    <w:rsid w:val="0088256A"/>
    <w:rsid w:val="00895C54"/>
    <w:rsid w:val="008A2323"/>
    <w:rsid w:val="008A2ECA"/>
    <w:rsid w:val="008A6846"/>
    <w:rsid w:val="008A7A93"/>
    <w:rsid w:val="008C47F6"/>
    <w:rsid w:val="008C520D"/>
    <w:rsid w:val="008D08A7"/>
    <w:rsid w:val="008D1750"/>
    <w:rsid w:val="008D7800"/>
    <w:rsid w:val="008E2910"/>
    <w:rsid w:val="008E3DBE"/>
    <w:rsid w:val="008E4913"/>
    <w:rsid w:val="008E6D3D"/>
    <w:rsid w:val="008E747A"/>
    <w:rsid w:val="008E773B"/>
    <w:rsid w:val="00900464"/>
    <w:rsid w:val="0090100E"/>
    <w:rsid w:val="00904FA8"/>
    <w:rsid w:val="00905C6D"/>
    <w:rsid w:val="00912904"/>
    <w:rsid w:val="0092014E"/>
    <w:rsid w:val="00920E7F"/>
    <w:rsid w:val="00923B73"/>
    <w:rsid w:val="00936840"/>
    <w:rsid w:val="0093767E"/>
    <w:rsid w:val="00945CFD"/>
    <w:rsid w:val="00953779"/>
    <w:rsid w:val="00961853"/>
    <w:rsid w:val="00966F4D"/>
    <w:rsid w:val="0096F12F"/>
    <w:rsid w:val="00972A02"/>
    <w:rsid w:val="00981585"/>
    <w:rsid w:val="00982C6D"/>
    <w:rsid w:val="00987E0E"/>
    <w:rsid w:val="0099517C"/>
    <w:rsid w:val="009A0937"/>
    <w:rsid w:val="009A5D96"/>
    <w:rsid w:val="009B0DCA"/>
    <w:rsid w:val="009B2ECD"/>
    <w:rsid w:val="009B7914"/>
    <w:rsid w:val="009C4ED7"/>
    <w:rsid w:val="009D35BB"/>
    <w:rsid w:val="009D7E51"/>
    <w:rsid w:val="009E5132"/>
    <w:rsid w:val="009E54D4"/>
    <w:rsid w:val="009F23B9"/>
    <w:rsid w:val="009F27F0"/>
    <w:rsid w:val="009F4142"/>
    <w:rsid w:val="009F430B"/>
    <w:rsid w:val="00A00DB5"/>
    <w:rsid w:val="00A160B2"/>
    <w:rsid w:val="00A256A6"/>
    <w:rsid w:val="00A26E36"/>
    <w:rsid w:val="00A33247"/>
    <w:rsid w:val="00A52B01"/>
    <w:rsid w:val="00A566E7"/>
    <w:rsid w:val="00A675F3"/>
    <w:rsid w:val="00A73D6B"/>
    <w:rsid w:val="00A80398"/>
    <w:rsid w:val="00A940D3"/>
    <w:rsid w:val="00A96FCA"/>
    <w:rsid w:val="00AA2E6F"/>
    <w:rsid w:val="00AA4BE8"/>
    <w:rsid w:val="00AA7BE3"/>
    <w:rsid w:val="00AB0DF5"/>
    <w:rsid w:val="00AB678A"/>
    <w:rsid w:val="00AB68B6"/>
    <w:rsid w:val="00AC0AAB"/>
    <w:rsid w:val="00AC7BA9"/>
    <w:rsid w:val="00AD06DA"/>
    <w:rsid w:val="00AF11B9"/>
    <w:rsid w:val="00B0357E"/>
    <w:rsid w:val="00B0425E"/>
    <w:rsid w:val="00B070B5"/>
    <w:rsid w:val="00B07134"/>
    <w:rsid w:val="00B128DD"/>
    <w:rsid w:val="00B26D22"/>
    <w:rsid w:val="00B4404C"/>
    <w:rsid w:val="00B54B04"/>
    <w:rsid w:val="00B606D7"/>
    <w:rsid w:val="00B60FF5"/>
    <w:rsid w:val="00B6111C"/>
    <w:rsid w:val="00B8780F"/>
    <w:rsid w:val="00B900E2"/>
    <w:rsid w:val="00B9118E"/>
    <w:rsid w:val="00B956D9"/>
    <w:rsid w:val="00BA35EA"/>
    <w:rsid w:val="00BB7789"/>
    <w:rsid w:val="00BC126A"/>
    <w:rsid w:val="00BC6C1E"/>
    <w:rsid w:val="00BD352D"/>
    <w:rsid w:val="00BD6115"/>
    <w:rsid w:val="00BD638A"/>
    <w:rsid w:val="00BD684A"/>
    <w:rsid w:val="00BE3BD8"/>
    <w:rsid w:val="00BE526A"/>
    <w:rsid w:val="00BE7379"/>
    <w:rsid w:val="00C03C78"/>
    <w:rsid w:val="00C27804"/>
    <w:rsid w:val="00C32DAE"/>
    <w:rsid w:val="00C365E8"/>
    <w:rsid w:val="00C40849"/>
    <w:rsid w:val="00C40E24"/>
    <w:rsid w:val="00C416F7"/>
    <w:rsid w:val="00C616FA"/>
    <w:rsid w:val="00C61B80"/>
    <w:rsid w:val="00C638ED"/>
    <w:rsid w:val="00C7293C"/>
    <w:rsid w:val="00C72F09"/>
    <w:rsid w:val="00C74113"/>
    <w:rsid w:val="00C77269"/>
    <w:rsid w:val="00C86E1F"/>
    <w:rsid w:val="00C92D9A"/>
    <w:rsid w:val="00C94B89"/>
    <w:rsid w:val="00C96EF5"/>
    <w:rsid w:val="00C977BF"/>
    <w:rsid w:val="00CA24F2"/>
    <w:rsid w:val="00CA3029"/>
    <w:rsid w:val="00CB22AF"/>
    <w:rsid w:val="00CB4B97"/>
    <w:rsid w:val="00CC70DA"/>
    <w:rsid w:val="00CD5F62"/>
    <w:rsid w:val="00CD608E"/>
    <w:rsid w:val="00CE1FE1"/>
    <w:rsid w:val="00CF019C"/>
    <w:rsid w:val="00D01980"/>
    <w:rsid w:val="00D13BF9"/>
    <w:rsid w:val="00D17FC6"/>
    <w:rsid w:val="00D25064"/>
    <w:rsid w:val="00D306FA"/>
    <w:rsid w:val="00D30D08"/>
    <w:rsid w:val="00D32B51"/>
    <w:rsid w:val="00D34668"/>
    <w:rsid w:val="00D3740E"/>
    <w:rsid w:val="00D40335"/>
    <w:rsid w:val="00D535F0"/>
    <w:rsid w:val="00D60C3F"/>
    <w:rsid w:val="00D82F57"/>
    <w:rsid w:val="00D841A5"/>
    <w:rsid w:val="00D86A57"/>
    <w:rsid w:val="00D91480"/>
    <w:rsid w:val="00D914D2"/>
    <w:rsid w:val="00DA25DB"/>
    <w:rsid w:val="00DB0791"/>
    <w:rsid w:val="00DB15C7"/>
    <w:rsid w:val="00DD4251"/>
    <w:rsid w:val="00DE1E63"/>
    <w:rsid w:val="00DF07A7"/>
    <w:rsid w:val="00DF29F9"/>
    <w:rsid w:val="00E02B50"/>
    <w:rsid w:val="00E03F11"/>
    <w:rsid w:val="00E06DC8"/>
    <w:rsid w:val="00E0766A"/>
    <w:rsid w:val="00E220B5"/>
    <w:rsid w:val="00E3219B"/>
    <w:rsid w:val="00E33D93"/>
    <w:rsid w:val="00E36089"/>
    <w:rsid w:val="00E40071"/>
    <w:rsid w:val="00E4424B"/>
    <w:rsid w:val="00E45B2C"/>
    <w:rsid w:val="00E4609E"/>
    <w:rsid w:val="00E47C67"/>
    <w:rsid w:val="00E609EF"/>
    <w:rsid w:val="00E75F9D"/>
    <w:rsid w:val="00E77285"/>
    <w:rsid w:val="00E84108"/>
    <w:rsid w:val="00E84904"/>
    <w:rsid w:val="00E8515B"/>
    <w:rsid w:val="00E90AFF"/>
    <w:rsid w:val="00E9732E"/>
    <w:rsid w:val="00EA1E73"/>
    <w:rsid w:val="00EA4AD0"/>
    <w:rsid w:val="00EB085F"/>
    <w:rsid w:val="00EB688C"/>
    <w:rsid w:val="00EC770E"/>
    <w:rsid w:val="00EE19EF"/>
    <w:rsid w:val="00EF2F91"/>
    <w:rsid w:val="00EF779F"/>
    <w:rsid w:val="00F0257F"/>
    <w:rsid w:val="00F24C46"/>
    <w:rsid w:val="00F33EE3"/>
    <w:rsid w:val="00F4213B"/>
    <w:rsid w:val="00F5463B"/>
    <w:rsid w:val="00F55205"/>
    <w:rsid w:val="00F849ED"/>
    <w:rsid w:val="00F92398"/>
    <w:rsid w:val="00FA676D"/>
    <w:rsid w:val="00FC57C9"/>
    <w:rsid w:val="00FD166B"/>
    <w:rsid w:val="00FD31A0"/>
    <w:rsid w:val="00FD6B73"/>
    <w:rsid w:val="00FE0018"/>
    <w:rsid w:val="00FE33A0"/>
    <w:rsid w:val="00FE3572"/>
    <w:rsid w:val="00FF314E"/>
    <w:rsid w:val="00FF6AAD"/>
    <w:rsid w:val="00FF71E5"/>
    <w:rsid w:val="018D0585"/>
    <w:rsid w:val="024BF2E6"/>
    <w:rsid w:val="02C065DF"/>
    <w:rsid w:val="047BE864"/>
    <w:rsid w:val="06C4CE87"/>
    <w:rsid w:val="0912A519"/>
    <w:rsid w:val="095C8546"/>
    <w:rsid w:val="0C91F85A"/>
    <w:rsid w:val="0D2B64EB"/>
    <w:rsid w:val="0D701FC0"/>
    <w:rsid w:val="0EAFD417"/>
    <w:rsid w:val="0FC9991C"/>
    <w:rsid w:val="106C62C1"/>
    <w:rsid w:val="119546FC"/>
    <w:rsid w:val="11AEDB2E"/>
    <w:rsid w:val="1294502F"/>
    <w:rsid w:val="138BD088"/>
    <w:rsid w:val="14A12BC7"/>
    <w:rsid w:val="14B96731"/>
    <w:rsid w:val="1812934B"/>
    <w:rsid w:val="1BA01D23"/>
    <w:rsid w:val="1E206DDE"/>
    <w:rsid w:val="20434AB0"/>
    <w:rsid w:val="21800BB9"/>
    <w:rsid w:val="232178DC"/>
    <w:rsid w:val="23595360"/>
    <w:rsid w:val="26F9B9B5"/>
    <w:rsid w:val="277CDF3E"/>
    <w:rsid w:val="2885BD58"/>
    <w:rsid w:val="28BDFED0"/>
    <w:rsid w:val="28D0FFF3"/>
    <w:rsid w:val="2B2A5D13"/>
    <w:rsid w:val="2BBC9EC2"/>
    <w:rsid w:val="2C6C99B6"/>
    <w:rsid w:val="2F80E4FF"/>
    <w:rsid w:val="3039248E"/>
    <w:rsid w:val="312E881F"/>
    <w:rsid w:val="31A7754A"/>
    <w:rsid w:val="334ACB63"/>
    <w:rsid w:val="3534A6A1"/>
    <w:rsid w:val="3637BDC9"/>
    <w:rsid w:val="36C7CA44"/>
    <w:rsid w:val="37EFB7BE"/>
    <w:rsid w:val="384F5051"/>
    <w:rsid w:val="39F7BB14"/>
    <w:rsid w:val="3A8178C0"/>
    <w:rsid w:val="3C5F8808"/>
    <w:rsid w:val="3C6ABF32"/>
    <w:rsid w:val="3CA6FF4D"/>
    <w:rsid w:val="3E068F93"/>
    <w:rsid w:val="400237F2"/>
    <w:rsid w:val="410390AB"/>
    <w:rsid w:val="42272DFB"/>
    <w:rsid w:val="4505256D"/>
    <w:rsid w:val="4584AEEE"/>
    <w:rsid w:val="47F19F7A"/>
    <w:rsid w:val="480DC90E"/>
    <w:rsid w:val="483409B2"/>
    <w:rsid w:val="4AEC950F"/>
    <w:rsid w:val="4B081B05"/>
    <w:rsid w:val="4CC5109D"/>
    <w:rsid w:val="4E001B23"/>
    <w:rsid w:val="4E60E0FE"/>
    <w:rsid w:val="4E76C9BA"/>
    <w:rsid w:val="4FFCB15F"/>
    <w:rsid w:val="52215CCB"/>
    <w:rsid w:val="531B7A90"/>
    <w:rsid w:val="53B4D9A2"/>
    <w:rsid w:val="5516EBB8"/>
    <w:rsid w:val="5531F5A5"/>
    <w:rsid w:val="56B49B5D"/>
    <w:rsid w:val="5ABF0865"/>
    <w:rsid w:val="5BC946B2"/>
    <w:rsid w:val="5C4C8E06"/>
    <w:rsid w:val="5CA35246"/>
    <w:rsid w:val="5D918D30"/>
    <w:rsid w:val="5DE85E67"/>
    <w:rsid w:val="60B00595"/>
    <w:rsid w:val="611FFF29"/>
    <w:rsid w:val="619E657E"/>
    <w:rsid w:val="61EF5357"/>
    <w:rsid w:val="63610B82"/>
    <w:rsid w:val="638E7C9A"/>
    <w:rsid w:val="66D2FB17"/>
    <w:rsid w:val="67DEC65F"/>
    <w:rsid w:val="68280940"/>
    <w:rsid w:val="68BC4189"/>
    <w:rsid w:val="69C3D9A1"/>
    <w:rsid w:val="6C9F1942"/>
    <w:rsid w:val="6D72E7E1"/>
    <w:rsid w:val="6DAB7557"/>
    <w:rsid w:val="6E974AC4"/>
    <w:rsid w:val="6FC9964B"/>
    <w:rsid w:val="705FED96"/>
    <w:rsid w:val="7077AFAF"/>
    <w:rsid w:val="70C3794F"/>
    <w:rsid w:val="71B9EC52"/>
    <w:rsid w:val="71BA6A86"/>
    <w:rsid w:val="72CA080B"/>
    <w:rsid w:val="750DD207"/>
    <w:rsid w:val="754644E7"/>
    <w:rsid w:val="78100579"/>
    <w:rsid w:val="78292DD6"/>
    <w:rsid w:val="78699937"/>
    <w:rsid w:val="78C6D229"/>
    <w:rsid w:val="78CD7F76"/>
    <w:rsid w:val="7B47A63B"/>
    <w:rsid w:val="7CDED0A2"/>
    <w:rsid w:val="7D4A486C"/>
    <w:rsid w:val="7E35DA1F"/>
    <w:rsid w:val="7ED1F454"/>
    <w:rsid w:val="7F444125"/>
    <w:rsid w:val="7FE48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40B2C5E0-CD6E-48FA-A7B9-59C6739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character" w:styleId="Mention">
    <w:name w:val="Mention"/>
    <w:basedOn w:val="DefaultParagraphFont"/>
    <w:uiPriority w:val="99"/>
    <w:unhideWhenUsed/>
    <w:rsid w:val="00013CBA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sid w:val="00013CB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CBA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13CBA"/>
    <w:rPr>
      <w:sz w:val="16"/>
      <w:szCs w:val="16"/>
    </w:rPr>
  </w:style>
  <w:style w:type="table" w:styleId="TableGrid">
    <w:name w:val="Table Grid"/>
    <w:basedOn w:val="TableNormal"/>
    <w:rsid w:val="00BC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00BFBBC5-5B87-4DB6-B13F-7CFCD90B1982}">
    <t:Anchor>
      <t:Comment id="1919170179"/>
    </t:Anchor>
    <t:History>
      <t:Event id="{D555C724-163B-4E16-B34A-5967782EB4AF}" time="2024-01-03T13:14:46.256Z">
        <t:Attribution userId="S::tracy.barnett@harrow.gov.uk::b9d96763-9a85-4ffd-8464-8ba9ec9e7a64" userProvider="AD" userName="Tracy Barnett"/>
        <t:Anchor>
          <t:Comment id="1919170179"/>
        </t:Anchor>
        <t:Create/>
      </t:Event>
      <t:Event id="{828F8DA2-1E4C-4479-8426-831CE30927B8}" time="2024-01-03T13:14:46.256Z">
        <t:Attribution userId="S::tracy.barnett@harrow.gov.uk::b9d96763-9a85-4ffd-8464-8ba9ec9e7a64" userProvider="AD" userName="Tracy Barnett"/>
        <t:Anchor>
          <t:Comment id="1919170179"/>
        </t:Anchor>
        <t:Assign userId="S::Justin.Phillips@harrow.gov.uk::5c7f5706-bd50-4cfc-9b83-10c1d8c3743e" userProvider="AD" userName="Justin Phillips (Anti Fraud)"/>
      </t:Event>
      <t:Event id="{A6E38400-92BC-455C-9C91-8DD047A5813E}" time="2024-01-03T13:14:46.256Z">
        <t:Attribution userId="S::tracy.barnett@harrow.gov.uk::b9d96763-9a85-4ffd-8464-8ba9ec9e7a64" userProvider="AD" userName="Tracy Barnett"/>
        <t:Anchor>
          <t:Comment id="1919170179"/>
        </t:Anchor>
        <t:SetTitle title="@Justin Phillips (Anti Fraud) Do we want to add a brief summary her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9e2096-1cad-492d-804d-9abc973e09ce">
      <UserInfo>
        <DisplayName>Jessica Farmer</DisplayName>
        <AccountId>174</AccountId>
        <AccountType/>
      </UserInfo>
      <UserInfo>
        <DisplayName>Sharon Daniels</DisplayName>
        <AccountId>98</AccountId>
        <AccountType/>
      </UserInfo>
      <UserInfo>
        <DisplayName>Caroline Eccles</DisplayName>
        <AccountId>293</AccountId>
        <AccountType/>
      </UserInfo>
      <UserInfo>
        <DisplayName>Arun Birah</DisplayName>
        <AccountId>291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D0B5EBE6FBA4386267E44C1915B3E" ma:contentTypeVersion="6" ma:contentTypeDescription="Create a new document." ma:contentTypeScope="" ma:versionID="038d82b335bdf82ce1f75a2928ba31a3">
  <xsd:schema xmlns:xsd="http://www.w3.org/2001/XMLSchema" xmlns:xs="http://www.w3.org/2001/XMLSchema" xmlns:p="http://schemas.microsoft.com/office/2006/metadata/properties" xmlns:ns2="f97bcfd9-eee9-4b50-8430-bb265ff25d0f" xmlns:ns3="339e2096-1cad-492d-804d-9abc973e09ce" targetNamespace="http://schemas.microsoft.com/office/2006/metadata/properties" ma:root="true" ma:fieldsID="20ed12ab6857508fc84c42c93d880692" ns2:_="" ns3:_="">
    <xsd:import namespace="f97bcfd9-eee9-4b50-8430-bb265ff25d0f"/>
    <xsd:import namespace="339e2096-1cad-492d-804d-9abc973e0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cfd9-eee9-4b50-8430-bb265ff25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A14A9-1B8F-4794-A120-C0D532510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E45F9-8A54-46D6-98D3-DD71F6843F27}">
  <ds:schemaRefs>
    <ds:schemaRef ds:uri="http://schemas.microsoft.com/office/2006/metadata/properties"/>
    <ds:schemaRef ds:uri="http://schemas.microsoft.com/office/infopath/2007/PartnerControls"/>
    <ds:schemaRef ds:uri="339e2096-1cad-492d-804d-9abc973e09ce"/>
  </ds:schemaRefs>
</ds:datastoreItem>
</file>

<file path=customXml/itemProps3.xml><?xml version="1.0" encoding="utf-8"?>
<ds:datastoreItem xmlns:ds="http://schemas.openxmlformats.org/officeDocument/2006/customXml" ds:itemID="{BAC8DC0B-533E-481D-A129-7D37777E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cfd9-eee9-4b50-8430-bb265ff25d0f"/>
    <ds:schemaRef ds:uri="339e2096-1cad-492d-804d-9abc973e0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cp:lastModifiedBy>Arun Birah</cp:lastModifiedBy>
  <cp:revision>3</cp:revision>
  <cp:lastPrinted>2007-07-12T09:53:00Z</cp:lastPrinted>
  <dcterms:created xsi:type="dcterms:W3CDTF">2024-03-08T13:39:00Z</dcterms:created>
  <dcterms:modified xsi:type="dcterms:W3CDTF">2024-03-08T13:42:00Z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0x010100E98D0B5EBE6FBA4386267E44C1915B3E</vt:lpwstr>
  </property>
</Properties>
</file>